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1D70" w14:textId="77777777" w:rsidR="00C8765D" w:rsidRPr="00073B89" w:rsidRDefault="00C8765D" w:rsidP="00C8765D">
      <w:pPr>
        <w:rPr>
          <w:szCs w:val="24"/>
        </w:rPr>
      </w:pPr>
    </w:p>
    <w:p w14:paraId="5B840646" w14:textId="77777777" w:rsidR="00CD6D1A" w:rsidRPr="00073B89" w:rsidRDefault="00CD6D1A" w:rsidP="00CD6D1A">
      <w:pPr>
        <w:rPr>
          <w:bCs/>
        </w:rPr>
      </w:pPr>
      <w:r w:rsidRPr="00073B89">
        <w:rPr>
          <w:bCs/>
        </w:rPr>
        <w:t>RKP: 51724</w:t>
      </w:r>
      <w:r w:rsidRPr="00073B89">
        <w:rPr>
          <w:bCs/>
        </w:rPr>
        <w:tab/>
      </w:r>
      <w:r w:rsidRPr="00073B89">
        <w:rPr>
          <w:bCs/>
        </w:rPr>
        <w:tab/>
      </w:r>
    </w:p>
    <w:p w14:paraId="72F1A316" w14:textId="77777777" w:rsidR="00CD6D1A" w:rsidRPr="00073B89" w:rsidRDefault="00CD6D1A" w:rsidP="00CD6D1A">
      <w:pPr>
        <w:rPr>
          <w:bCs/>
        </w:rPr>
      </w:pPr>
      <w:r w:rsidRPr="00073B89">
        <w:rPr>
          <w:bCs/>
        </w:rPr>
        <w:t>RAZINA: 11</w:t>
      </w:r>
      <w:r w:rsidRPr="00073B89">
        <w:rPr>
          <w:bCs/>
        </w:rPr>
        <w:tab/>
      </w:r>
    </w:p>
    <w:p w14:paraId="3B0A8644" w14:textId="77777777" w:rsidR="00CD6D1A" w:rsidRPr="00073B89" w:rsidRDefault="00CD6D1A" w:rsidP="00CD6D1A">
      <w:pPr>
        <w:rPr>
          <w:bCs/>
        </w:rPr>
      </w:pPr>
      <w:r w:rsidRPr="00073B89">
        <w:rPr>
          <w:bCs/>
        </w:rPr>
        <w:t>MATIČNI BROJ: 05332494</w:t>
      </w:r>
    </w:p>
    <w:p w14:paraId="1DCDC189" w14:textId="77777777" w:rsidR="00CD6D1A" w:rsidRPr="00073B89" w:rsidRDefault="00CD6D1A" w:rsidP="00CD6D1A">
      <w:pPr>
        <w:rPr>
          <w:bCs/>
        </w:rPr>
      </w:pPr>
      <w:r w:rsidRPr="00073B89">
        <w:rPr>
          <w:bCs/>
        </w:rPr>
        <w:t>OIB: 20506058112</w:t>
      </w:r>
    </w:p>
    <w:p w14:paraId="79866EA5" w14:textId="77777777" w:rsidR="00CD6D1A" w:rsidRPr="00073B89" w:rsidRDefault="00CD6D1A" w:rsidP="00CD6D1A">
      <w:pPr>
        <w:rPr>
          <w:bCs/>
        </w:rPr>
      </w:pPr>
      <w:r w:rsidRPr="00073B89">
        <w:rPr>
          <w:bCs/>
        </w:rPr>
        <w:t>RAZDJEL: 076</w:t>
      </w:r>
      <w:r w:rsidRPr="00073B89">
        <w:rPr>
          <w:bCs/>
        </w:rPr>
        <w:tab/>
      </w:r>
      <w:r w:rsidRPr="00073B89">
        <w:rPr>
          <w:bCs/>
        </w:rPr>
        <w:tab/>
      </w:r>
    </w:p>
    <w:p w14:paraId="354FB3E4" w14:textId="77777777" w:rsidR="00CD6D1A" w:rsidRPr="00073B89" w:rsidRDefault="00CD6D1A" w:rsidP="00CD6D1A">
      <w:pPr>
        <w:rPr>
          <w:bCs/>
        </w:rPr>
      </w:pPr>
      <w:r w:rsidRPr="00073B89">
        <w:rPr>
          <w:bCs/>
        </w:rPr>
        <w:t>GLAVA: 35</w:t>
      </w:r>
      <w:r w:rsidRPr="00073B89">
        <w:rPr>
          <w:bCs/>
        </w:rPr>
        <w:tab/>
      </w:r>
      <w:r w:rsidRPr="00073B89">
        <w:rPr>
          <w:bCs/>
        </w:rPr>
        <w:tab/>
      </w:r>
      <w:r w:rsidRPr="00073B89">
        <w:rPr>
          <w:bCs/>
        </w:rPr>
        <w:tab/>
      </w:r>
    </w:p>
    <w:p w14:paraId="4DB506B9" w14:textId="0A58C573" w:rsidR="00CD6D1A" w:rsidRPr="00073B89" w:rsidRDefault="00CD6D1A" w:rsidP="00CD6D1A">
      <w:pPr>
        <w:rPr>
          <w:bCs/>
        </w:rPr>
      </w:pPr>
      <w:r w:rsidRPr="00073B89">
        <w:rPr>
          <w:bCs/>
        </w:rPr>
        <w:t>ŠIFRA DJELATNOSTI: 8412</w:t>
      </w:r>
    </w:p>
    <w:p w14:paraId="0A9B7F6F" w14:textId="0A7470B6" w:rsidR="00C60266" w:rsidRPr="00073B89" w:rsidRDefault="00C60266" w:rsidP="00CD6D1A">
      <w:pPr>
        <w:rPr>
          <w:bCs/>
        </w:rPr>
      </w:pPr>
    </w:p>
    <w:p w14:paraId="38CE2E42" w14:textId="65B9EA6E" w:rsidR="00073B89" w:rsidRPr="00073B89" w:rsidRDefault="00E97D29" w:rsidP="00E97D29">
      <w:pPr>
        <w:spacing w:after="40"/>
        <w:rPr>
          <w:b/>
          <w:szCs w:val="24"/>
          <w:u w:val="single"/>
        </w:rPr>
      </w:pPr>
      <w:r w:rsidRPr="00073B89">
        <w:rPr>
          <w:szCs w:val="24"/>
          <w:shd w:val="clear" w:color="auto" w:fill="FFFFFF"/>
        </w:rPr>
        <w:t> </w:t>
      </w:r>
      <w:r w:rsidRPr="00073B89">
        <w:rPr>
          <w:b/>
          <w:szCs w:val="24"/>
          <w:u w:val="single"/>
        </w:rPr>
        <w:t xml:space="preserve"> </w:t>
      </w:r>
    </w:p>
    <w:p w14:paraId="53C0CB11" w14:textId="77777777" w:rsidR="00073B89" w:rsidRPr="00073B89" w:rsidRDefault="00073B89" w:rsidP="00073B89">
      <w:pPr>
        <w:jc w:val="center"/>
        <w:rPr>
          <w:b/>
          <w:bCs/>
        </w:rPr>
      </w:pPr>
      <w:r w:rsidRPr="00073B89">
        <w:rPr>
          <w:b/>
          <w:bCs/>
        </w:rPr>
        <w:t>BILJEŠKE UZ FINANCIJSKE IZVJEŠTAJE</w:t>
      </w:r>
    </w:p>
    <w:p w14:paraId="263B2039" w14:textId="1364547E" w:rsidR="00073B89" w:rsidRPr="00073B89" w:rsidRDefault="00073B89" w:rsidP="00073B89">
      <w:pPr>
        <w:jc w:val="center"/>
        <w:rPr>
          <w:bCs/>
        </w:rPr>
      </w:pPr>
      <w:r w:rsidRPr="00073B89">
        <w:rPr>
          <w:b/>
          <w:bCs/>
        </w:rPr>
        <w:t>ZA 2021. GODINU</w:t>
      </w:r>
    </w:p>
    <w:p w14:paraId="454FE467" w14:textId="77777777" w:rsidR="00073B89" w:rsidRPr="00073B89" w:rsidRDefault="00073B89" w:rsidP="00073B89">
      <w:pPr>
        <w:rPr>
          <w:bCs/>
        </w:rPr>
      </w:pPr>
    </w:p>
    <w:p w14:paraId="64823003" w14:textId="77777777" w:rsidR="00073B89" w:rsidRDefault="00073B89" w:rsidP="00073B89">
      <w:pPr>
        <w:jc w:val="both"/>
        <w:rPr>
          <w:bCs/>
        </w:rPr>
      </w:pPr>
    </w:p>
    <w:p w14:paraId="404A01C8" w14:textId="11A452FB" w:rsidR="00CB0834" w:rsidRDefault="00073B89" w:rsidP="006124FF">
      <w:pPr>
        <w:jc w:val="both"/>
        <w:rPr>
          <w:bCs/>
        </w:rPr>
      </w:pPr>
      <w:r>
        <w:rPr>
          <w:bCs/>
        </w:rPr>
        <w:t>Fond z</w:t>
      </w:r>
      <w:r w:rsidRPr="00073B89">
        <w:rPr>
          <w:bCs/>
        </w:rPr>
        <w:t xml:space="preserve">a </w:t>
      </w:r>
      <w:r>
        <w:rPr>
          <w:bCs/>
        </w:rPr>
        <w:t>o</w:t>
      </w:r>
      <w:r w:rsidRPr="00073B89">
        <w:rPr>
          <w:bCs/>
        </w:rPr>
        <w:t>bnovu Grada Zagreba, Krapinsko-</w:t>
      </w:r>
      <w:r>
        <w:rPr>
          <w:bCs/>
        </w:rPr>
        <w:t>z</w:t>
      </w:r>
      <w:r w:rsidRPr="00073B89">
        <w:rPr>
          <w:bCs/>
        </w:rPr>
        <w:t xml:space="preserve">agorske </w:t>
      </w:r>
      <w:r>
        <w:rPr>
          <w:bCs/>
        </w:rPr>
        <w:t>ž</w:t>
      </w:r>
      <w:r w:rsidRPr="00073B89">
        <w:rPr>
          <w:bCs/>
        </w:rPr>
        <w:t xml:space="preserve">upanije </w:t>
      </w:r>
      <w:r>
        <w:rPr>
          <w:bCs/>
        </w:rPr>
        <w:t>i Z</w:t>
      </w:r>
      <w:r w:rsidRPr="00073B89">
        <w:rPr>
          <w:bCs/>
        </w:rPr>
        <w:t xml:space="preserve">agrebačke </w:t>
      </w:r>
      <w:r>
        <w:rPr>
          <w:bCs/>
        </w:rPr>
        <w:t>ž</w:t>
      </w:r>
      <w:r w:rsidRPr="00073B89">
        <w:rPr>
          <w:bCs/>
        </w:rPr>
        <w:t>upanije</w:t>
      </w:r>
      <w:r>
        <w:rPr>
          <w:bCs/>
        </w:rPr>
        <w:t xml:space="preserve"> (dalje u tekstu: Fond za obnovu) </w:t>
      </w:r>
      <w:r w:rsidR="00CB0834">
        <w:rPr>
          <w:bCs/>
        </w:rPr>
        <w:t>osnovan</w:t>
      </w:r>
      <w:r w:rsidR="00EB748F">
        <w:rPr>
          <w:bCs/>
        </w:rPr>
        <w:t xml:space="preserve"> </w:t>
      </w:r>
      <w:r w:rsidR="000F6999">
        <w:rPr>
          <w:bCs/>
        </w:rPr>
        <w:t xml:space="preserve">je </w:t>
      </w:r>
      <w:r w:rsidR="00852AA0" w:rsidRPr="00852AA0">
        <w:rPr>
          <w:bCs/>
        </w:rPr>
        <w:t>Zakon</w:t>
      </w:r>
      <w:r w:rsidR="00852AA0">
        <w:rPr>
          <w:bCs/>
        </w:rPr>
        <w:t>om</w:t>
      </w:r>
      <w:r w:rsidR="00852AA0" w:rsidRPr="00852AA0">
        <w:rPr>
          <w:bCs/>
        </w:rPr>
        <w:t xml:space="preserve"> o obnovi zgrada oštećenih potresom na području Grada Zagreba, Krapinsko-zagorske županije, Zagrebačke županije, Sisačko-moslavačke županije i Karlovačke županije  („Narodne novine“, broj 102/20, 10/21 i 117/21)</w:t>
      </w:r>
      <w:r w:rsidR="007F2673">
        <w:rPr>
          <w:bCs/>
        </w:rPr>
        <w:t xml:space="preserve"> </w:t>
      </w:r>
      <w:r w:rsidR="00EB748F">
        <w:rPr>
          <w:bCs/>
        </w:rPr>
        <w:t xml:space="preserve">i </w:t>
      </w:r>
      <w:r w:rsidR="006124FF" w:rsidRPr="006124FF">
        <w:rPr>
          <w:bCs/>
        </w:rPr>
        <w:t>Ugovor</w:t>
      </w:r>
      <w:r w:rsidR="006124FF">
        <w:rPr>
          <w:bCs/>
        </w:rPr>
        <w:t>om</w:t>
      </w:r>
      <w:r w:rsidR="006124FF" w:rsidRPr="006124FF">
        <w:rPr>
          <w:bCs/>
        </w:rPr>
        <w:t xml:space="preserve"> između Republike Hrvatske, Grada Zagreba, Krapinsko-zagorske županije i Zagrebačke županije o osnivanju Fonda za obnovu Grada Zagreba, Krapinsko-zagorske županije i Zagrebačke županije, KLASA: 900-01/20-001/55; URBROJ: 251-03-01-20-1 od 29. listopada 2020. godine</w:t>
      </w:r>
    </w:p>
    <w:p w14:paraId="4DF82A43" w14:textId="77777777" w:rsidR="000F6999" w:rsidRDefault="000F6999" w:rsidP="00CB0834">
      <w:pPr>
        <w:rPr>
          <w:bCs/>
        </w:rPr>
      </w:pPr>
    </w:p>
    <w:p w14:paraId="52C41626" w14:textId="68102213" w:rsidR="00073B89" w:rsidRDefault="00CB0834" w:rsidP="00CB0834">
      <w:pPr>
        <w:rPr>
          <w:bCs/>
        </w:rPr>
      </w:pPr>
      <w:r>
        <w:rPr>
          <w:bCs/>
        </w:rPr>
        <w:t xml:space="preserve">Djelatnosti Fonda za obnovu su </w:t>
      </w:r>
      <w:r w:rsidR="00073B89" w:rsidRPr="00073B89">
        <w:rPr>
          <w:bCs/>
        </w:rPr>
        <w:t>obavljanje stručnih i drugih poslova pripreme, organiziranja i provedbe obnove zgrada oštećenih potresom</w:t>
      </w:r>
      <w:r>
        <w:rPr>
          <w:bCs/>
        </w:rPr>
        <w:t>,</w:t>
      </w:r>
      <w:r w:rsidR="005D7B41">
        <w:rPr>
          <w:bCs/>
        </w:rPr>
        <w:t xml:space="preserve"> te</w:t>
      </w:r>
      <w:r>
        <w:rPr>
          <w:bCs/>
        </w:rPr>
        <w:t xml:space="preserve"> p</w:t>
      </w:r>
      <w:r w:rsidR="00073B89" w:rsidRPr="00073B89">
        <w:rPr>
          <w:bCs/>
        </w:rPr>
        <w:t>raćenje provedbe programa mjera obnove</w:t>
      </w:r>
      <w:r>
        <w:rPr>
          <w:bCs/>
        </w:rPr>
        <w:t>.</w:t>
      </w:r>
    </w:p>
    <w:p w14:paraId="21E7C245" w14:textId="77777777" w:rsidR="00CB0834" w:rsidRDefault="00CB0834" w:rsidP="00CB0834">
      <w:pPr>
        <w:rPr>
          <w:bCs/>
        </w:rPr>
      </w:pPr>
    </w:p>
    <w:p w14:paraId="495474C5" w14:textId="1C3431A7" w:rsidR="00CB0834" w:rsidRDefault="00CB0834" w:rsidP="00CB0834">
      <w:pPr>
        <w:jc w:val="both"/>
        <w:rPr>
          <w:bCs/>
        </w:rPr>
      </w:pPr>
      <w:r w:rsidRPr="00073B89">
        <w:rPr>
          <w:bCs/>
        </w:rPr>
        <w:t>F</w:t>
      </w:r>
      <w:r>
        <w:rPr>
          <w:bCs/>
        </w:rPr>
        <w:t>ond za obnovu je započeo s radom u</w:t>
      </w:r>
      <w:r w:rsidR="00D82E39">
        <w:rPr>
          <w:bCs/>
        </w:rPr>
        <w:t xml:space="preserve"> siječnju</w:t>
      </w:r>
      <w:r>
        <w:rPr>
          <w:bCs/>
        </w:rPr>
        <w:t xml:space="preserve"> 2021. godin</w:t>
      </w:r>
      <w:r w:rsidR="00D82E39">
        <w:rPr>
          <w:bCs/>
        </w:rPr>
        <w:t>e</w:t>
      </w:r>
      <w:r>
        <w:rPr>
          <w:bCs/>
        </w:rPr>
        <w:t>.</w:t>
      </w:r>
    </w:p>
    <w:p w14:paraId="5314A177" w14:textId="5983283F" w:rsidR="00CB0834" w:rsidRDefault="00CB0834" w:rsidP="00CB0834">
      <w:pPr>
        <w:rPr>
          <w:bCs/>
        </w:rPr>
      </w:pPr>
    </w:p>
    <w:p w14:paraId="6108721D" w14:textId="4B8570B5" w:rsidR="005E30E6" w:rsidRPr="00CB0834" w:rsidRDefault="005E30E6" w:rsidP="005E30E6">
      <w:pPr>
        <w:jc w:val="both"/>
        <w:rPr>
          <w:b/>
        </w:rPr>
      </w:pPr>
      <w:r>
        <w:rPr>
          <w:bCs/>
        </w:rPr>
        <w:t xml:space="preserve">Financijski izvještaji Fonda za obnovu izrađeni su sukladno </w:t>
      </w:r>
      <w:r w:rsidR="000C5B30" w:rsidRPr="000C5B30">
        <w:rPr>
          <w:bCs/>
        </w:rPr>
        <w:t>Zakon</w:t>
      </w:r>
      <w:r w:rsidR="000C5B30">
        <w:rPr>
          <w:bCs/>
        </w:rPr>
        <w:t>u</w:t>
      </w:r>
      <w:r w:rsidR="000C5B30" w:rsidRPr="000C5B30">
        <w:rPr>
          <w:bCs/>
        </w:rPr>
        <w:t xml:space="preserve"> o proračunu </w:t>
      </w:r>
      <w:r w:rsidR="000C5B30">
        <w:rPr>
          <w:bCs/>
        </w:rPr>
        <w:t>(</w:t>
      </w:r>
      <w:r w:rsidR="000C5B30" w:rsidRPr="000C5B30">
        <w:rPr>
          <w:bCs/>
        </w:rPr>
        <w:t>„Narodne novine“</w:t>
      </w:r>
      <w:r w:rsidR="008A339C">
        <w:rPr>
          <w:bCs/>
        </w:rPr>
        <w:t>,</w:t>
      </w:r>
      <w:r w:rsidR="000C5B30" w:rsidRPr="000C5B30">
        <w:rPr>
          <w:bCs/>
        </w:rPr>
        <w:t xml:space="preserve"> broj 87/08, 136/12, 15/15 i 144/21</w:t>
      </w:r>
      <w:r w:rsidR="000C5B30">
        <w:rPr>
          <w:bCs/>
        </w:rPr>
        <w:t xml:space="preserve">), </w:t>
      </w:r>
      <w:r w:rsidR="000C5B30" w:rsidRPr="000C5B30">
        <w:rPr>
          <w:bCs/>
        </w:rPr>
        <w:t>Zakon</w:t>
      </w:r>
      <w:r w:rsidR="000C5B30">
        <w:rPr>
          <w:bCs/>
        </w:rPr>
        <w:t>u</w:t>
      </w:r>
      <w:r w:rsidR="000C5B30" w:rsidRPr="000C5B30">
        <w:rPr>
          <w:bCs/>
        </w:rPr>
        <w:t xml:space="preserve"> o izvršavanju državnog proračuna („Narodne novine“</w:t>
      </w:r>
      <w:r w:rsidR="008A339C">
        <w:rPr>
          <w:bCs/>
        </w:rPr>
        <w:t xml:space="preserve">, </w:t>
      </w:r>
      <w:r w:rsidR="000C5B30" w:rsidRPr="000C5B30">
        <w:rPr>
          <w:bCs/>
        </w:rPr>
        <w:t xml:space="preserve">broj </w:t>
      </w:r>
      <w:r w:rsidR="000C5B30">
        <w:rPr>
          <w:bCs/>
        </w:rPr>
        <w:t>1</w:t>
      </w:r>
      <w:r w:rsidR="000C5B30" w:rsidRPr="000C5B30">
        <w:rPr>
          <w:bCs/>
        </w:rPr>
        <w:t>35/20, 69/21</w:t>
      </w:r>
      <w:r w:rsidR="000C5B30">
        <w:rPr>
          <w:bCs/>
        </w:rPr>
        <w:t xml:space="preserve"> i</w:t>
      </w:r>
      <w:r w:rsidR="000C5B30" w:rsidRPr="000C5B30">
        <w:rPr>
          <w:bCs/>
        </w:rPr>
        <w:t xml:space="preserve"> 122/21</w:t>
      </w:r>
      <w:r w:rsidR="000C5B30">
        <w:rPr>
          <w:bCs/>
        </w:rPr>
        <w:t xml:space="preserve">), </w:t>
      </w:r>
      <w:r w:rsidRPr="00073B89">
        <w:rPr>
          <w:bCs/>
        </w:rPr>
        <w:t xml:space="preserve">Pravilniku o proračunskom računovodstvu i </w:t>
      </w:r>
    </w:p>
    <w:p w14:paraId="297807B4" w14:textId="409299CE" w:rsidR="00073B89" w:rsidRDefault="005E30E6" w:rsidP="005E30E6">
      <w:pPr>
        <w:jc w:val="both"/>
        <w:rPr>
          <w:bCs/>
        </w:rPr>
      </w:pPr>
      <w:r>
        <w:rPr>
          <w:bCs/>
        </w:rPr>
        <w:t>R</w:t>
      </w:r>
      <w:r w:rsidRPr="00073B89">
        <w:rPr>
          <w:bCs/>
        </w:rPr>
        <w:t>ačunskom planu („Narodne novine”</w:t>
      </w:r>
      <w:r w:rsidR="008A339C">
        <w:rPr>
          <w:bCs/>
        </w:rPr>
        <w:t>,</w:t>
      </w:r>
      <w:r w:rsidRPr="00073B89">
        <w:rPr>
          <w:bCs/>
        </w:rPr>
        <w:t xml:space="preserve"> broj 124/14, 115/15, 87/16, 3/18</w:t>
      </w:r>
      <w:r>
        <w:rPr>
          <w:bCs/>
        </w:rPr>
        <w:t xml:space="preserve">, </w:t>
      </w:r>
      <w:r w:rsidRPr="00073B89">
        <w:rPr>
          <w:bCs/>
        </w:rPr>
        <w:t>126/19</w:t>
      </w:r>
      <w:r>
        <w:rPr>
          <w:bCs/>
        </w:rPr>
        <w:t xml:space="preserve"> i 108/20</w:t>
      </w:r>
      <w:r w:rsidRPr="00073B89">
        <w:rPr>
          <w:bCs/>
        </w:rPr>
        <w:t>)</w:t>
      </w:r>
      <w:r>
        <w:rPr>
          <w:bCs/>
        </w:rPr>
        <w:t xml:space="preserve">, </w:t>
      </w:r>
      <w:r w:rsidR="00073B89" w:rsidRPr="00073B89">
        <w:rPr>
          <w:bCs/>
        </w:rPr>
        <w:t>Pravilniku o financijskom izvještavanju u proračunskom računovodstvu („Narodne novine“</w:t>
      </w:r>
      <w:r w:rsidR="00DC367B">
        <w:rPr>
          <w:bCs/>
        </w:rPr>
        <w:t>,</w:t>
      </w:r>
      <w:r w:rsidR="00073B89" w:rsidRPr="00073B89">
        <w:rPr>
          <w:bCs/>
        </w:rPr>
        <w:t xml:space="preserve"> broj 3/15, 93/15, 135/15, 2/17, 28/17, 112/18</w:t>
      </w:r>
      <w:r>
        <w:rPr>
          <w:bCs/>
        </w:rPr>
        <w:t xml:space="preserve">, </w:t>
      </w:r>
      <w:r w:rsidRPr="005E30E6">
        <w:rPr>
          <w:bCs/>
        </w:rPr>
        <w:t>126/19, 145/20</w:t>
      </w:r>
      <w:r>
        <w:rPr>
          <w:bCs/>
        </w:rPr>
        <w:t xml:space="preserve"> i</w:t>
      </w:r>
      <w:r w:rsidRPr="005E30E6">
        <w:rPr>
          <w:bCs/>
        </w:rPr>
        <w:t xml:space="preserve"> 32/21</w:t>
      </w:r>
      <w:r>
        <w:rPr>
          <w:bCs/>
        </w:rPr>
        <w:t xml:space="preserve">) i </w:t>
      </w:r>
      <w:r w:rsidR="00073B89" w:rsidRPr="00073B89">
        <w:rPr>
          <w:bCs/>
        </w:rPr>
        <w:t xml:space="preserve">okružnici Ministarstva financija </w:t>
      </w:r>
      <w:r w:rsidRPr="005E30E6">
        <w:rPr>
          <w:bCs/>
        </w:rPr>
        <w:t>o sastavljanju, konsolidaciji i</w:t>
      </w:r>
      <w:r>
        <w:rPr>
          <w:bCs/>
        </w:rPr>
        <w:t xml:space="preserve"> predaji financijskih izvještaja proračuna, proračunskih i izvanproračunskih korisnika državnog proračuna te proračunskih i izvanproračunskih korisnika proračuna jedinica lokalne i područne (regionalne) samouprave za razdoblje </w:t>
      </w:r>
      <w:r w:rsidRPr="005E30E6">
        <w:rPr>
          <w:bCs/>
        </w:rPr>
        <w:t>od 1.</w:t>
      </w:r>
      <w:r>
        <w:rPr>
          <w:bCs/>
        </w:rPr>
        <w:t xml:space="preserve"> </w:t>
      </w:r>
      <w:r w:rsidRPr="005E30E6">
        <w:rPr>
          <w:bCs/>
        </w:rPr>
        <w:t>sije</w:t>
      </w:r>
      <w:r>
        <w:rPr>
          <w:bCs/>
        </w:rPr>
        <w:t>č</w:t>
      </w:r>
      <w:r w:rsidRPr="005E30E6">
        <w:rPr>
          <w:bCs/>
        </w:rPr>
        <w:t>nja do 31. prosinca 2021</w:t>
      </w:r>
      <w:r>
        <w:rPr>
          <w:bCs/>
        </w:rPr>
        <w:t>. godine, KLASA:400-02/21</w:t>
      </w:r>
      <w:r w:rsidR="00073B89" w:rsidRPr="00073B89">
        <w:rPr>
          <w:bCs/>
        </w:rPr>
        <w:t>-01/2</w:t>
      </w:r>
      <w:r>
        <w:rPr>
          <w:bCs/>
        </w:rPr>
        <w:t>5</w:t>
      </w:r>
      <w:r w:rsidR="00073B89" w:rsidRPr="00073B89">
        <w:rPr>
          <w:bCs/>
        </w:rPr>
        <w:t>, URBROJ:513-05-03-2</w:t>
      </w:r>
      <w:r>
        <w:rPr>
          <w:bCs/>
        </w:rPr>
        <w:t>1</w:t>
      </w:r>
      <w:r w:rsidR="00073B89" w:rsidRPr="00073B89">
        <w:rPr>
          <w:bCs/>
        </w:rPr>
        <w:t>-</w:t>
      </w:r>
      <w:r>
        <w:rPr>
          <w:bCs/>
        </w:rPr>
        <w:t>5 od 27</w:t>
      </w:r>
      <w:r w:rsidR="00073B89" w:rsidRPr="00073B89">
        <w:rPr>
          <w:bCs/>
        </w:rPr>
        <w:t>. prosinca 2021. godine</w:t>
      </w:r>
      <w:r>
        <w:rPr>
          <w:bCs/>
        </w:rPr>
        <w:t>.</w:t>
      </w:r>
    </w:p>
    <w:p w14:paraId="28635B53" w14:textId="77777777" w:rsidR="00073B89" w:rsidRDefault="00073B89" w:rsidP="00073B89">
      <w:pPr>
        <w:jc w:val="both"/>
        <w:rPr>
          <w:bCs/>
        </w:rPr>
      </w:pPr>
    </w:p>
    <w:p w14:paraId="381D796A" w14:textId="77777777" w:rsidR="00991975" w:rsidRDefault="00991975" w:rsidP="00991975">
      <w:pPr>
        <w:rPr>
          <w:u w:val="single"/>
        </w:rPr>
      </w:pPr>
    </w:p>
    <w:p w14:paraId="0D256EFD" w14:textId="77777777" w:rsidR="00DC367B" w:rsidRDefault="00DC367B" w:rsidP="00991975">
      <w:pPr>
        <w:rPr>
          <w:u w:val="single"/>
        </w:rPr>
      </w:pPr>
    </w:p>
    <w:p w14:paraId="05D0955E" w14:textId="77777777" w:rsidR="00DC367B" w:rsidRDefault="00DC367B" w:rsidP="00991975">
      <w:pPr>
        <w:rPr>
          <w:u w:val="single"/>
        </w:rPr>
      </w:pPr>
    </w:p>
    <w:p w14:paraId="250EE9BC" w14:textId="77777777" w:rsidR="00DC367B" w:rsidRDefault="00DC367B" w:rsidP="00991975">
      <w:pPr>
        <w:rPr>
          <w:u w:val="single"/>
        </w:rPr>
      </w:pPr>
    </w:p>
    <w:p w14:paraId="7CF124ED" w14:textId="77777777" w:rsidR="00DC367B" w:rsidRDefault="00DC367B" w:rsidP="00991975">
      <w:pPr>
        <w:rPr>
          <w:u w:val="single"/>
        </w:rPr>
      </w:pPr>
    </w:p>
    <w:p w14:paraId="1D11AF2E" w14:textId="48298C1E" w:rsidR="00991975" w:rsidRPr="00073B89" w:rsidRDefault="00991975" w:rsidP="00991975">
      <w:pPr>
        <w:rPr>
          <w:u w:val="single"/>
        </w:rPr>
      </w:pPr>
      <w:r w:rsidRPr="00073B89">
        <w:rPr>
          <w:u w:val="single"/>
        </w:rPr>
        <w:lastRenderedPageBreak/>
        <w:t>BILJEŠKE UZ BILANCU</w:t>
      </w:r>
    </w:p>
    <w:p w14:paraId="4A7A2E55" w14:textId="77777777" w:rsidR="00991975" w:rsidRDefault="00991975" w:rsidP="00991975"/>
    <w:p w14:paraId="4C505CAD" w14:textId="77777777" w:rsidR="00991975" w:rsidRDefault="00991975" w:rsidP="00991975"/>
    <w:p w14:paraId="420044F8" w14:textId="304B613C" w:rsidR="00991975" w:rsidRPr="00C13C6E" w:rsidRDefault="00991975" w:rsidP="00991975">
      <w:pPr>
        <w:numPr>
          <w:ilvl w:val="0"/>
          <w:numId w:val="9"/>
        </w:numPr>
        <w:ind w:left="0" w:firstLine="0"/>
        <w:jc w:val="both"/>
        <w:rPr>
          <w:rFonts w:eastAsia="Times New Roman"/>
          <w:szCs w:val="24"/>
          <w:lang w:eastAsia="hr-HR"/>
        </w:rPr>
      </w:pPr>
      <w:r w:rsidRPr="00C13C6E">
        <w:rPr>
          <w:rFonts w:eastAsia="Times New Roman"/>
          <w:szCs w:val="24"/>
          <w:lang w:eastAsia="hr-HR"/>
        </w:rPr>
        <w:t>AOP 0</w:t>
      </w:r>
      <w:r w:rsidRPr="00732058">
        <w:rPr>
          <w:rFonts w:eastAsia="Times New Roman"/>
          <w:szCs w:val="24"/>
          <w:lang w:eastAsia="hr-HR"/>
        </w:rPr>
        <w:t xml:space="preserve">05 Nematerijalna imovina </w:t>
      </w:r>
      <w:r w:rsidRPr="00C13C6E">
        <w:rPr>
          <w:rFonts w:eastAsia="Times New Roman"/>
          <w:szCs w:val="24"/>
          <w:lang w:eastAsia="hr-HR"/>
        </w:rPr>
        <w:t xml:space="preserve">– </w:t>
      </w:r>
      <w:r w:rsidRPr="00732058">
        <w:rPr>
          <w:rFonts w:eastAsia="Times New Roman"/>
          <w:szCs w:val="24"/>
          <w:lang w:eastAsia="hr-HR"/>
        </w:rPr>
        <w:t>odnosi se na kupljene licence za program za knjigovodstvo, obračun plaće, nabavu, i dr.</w:t>
      </w:r>
      <w:r>
        <w:rPr>
          <w:rFonts w:eastAsia="Times New Roman"/>
          <w:szCs w:val="24"/>
          <w:lang w:eastAsia="hr-HR"/>
        </w:rPr>
        <w:t xml:space="preserve"> module</w:t>
      </w:r>
      <w:r w:rsidR="00C26356">
        <w:rPr>
          <w:rFonts w:eastAsia="Times New Roman"/>
          <w:szCs w:val="24"/>
          <w:lang w:eastAsia="hr-HR"/>
        </w:rPr>
        <w:t>,</w:t>
      </w:r>
      <w:r w:rsidR="00D43D26">
        <w:rPr>
          <w:rFonts w:eastAsia="Times New Roman"/>
          <w:szCs w:val="24"/>
          <w:lang w:eastAsia="hr-HR"/>
        </w:rPr>
        <w:t xml:space="preserve"> te na</w:t>
      </w:r>
      <w:r w:rsidR="00C26356">
        <w:rPr>
          <w:rFonts w:eastAsia="Times New Roman"/>
          <w:szCs w:val="24"/>
          <w:lang w:eastAsia="hr-HR"/>
        </w:rPr>
        <w:t xml:space="preserve"> IT</w:t>
      </w:r>
      <w:r w:rsidR="00D43D26">
        <w:rPr>
          <w:rFonts w:eastAsia="Times New Roman"/>
          <w:szCs w:val="24"/>
          <w:lang w:eastAsia="hr-HR"/>
        </w:rPr>
        <w:t xml:space="preserve"> licence</w:t>
      </w:r>
      <w:r>
        <w:rPr>
          <w:rFonts w:eastAsia="Times New Roman"/>
          <w:szCs w:val="24"/>
          <w:lang w:eastAsia="hr-HR"/>
        </w:rPr>
        <w:t>.</w:t>
      </w:r>
      <w:r w:rsidRPr="00732058">
        <w:rPr>
          <w:rFonts w:eastAsia="Times New Roman"/>
          <w:szCs w:val="24"/>
          <w:lang w:eastAsia="hr-HR"/>
        </w:rPr>
        <w:t xml:space="preserve"> </w:t>
      </w:r>
    </w:p>
    <w:p w14:paraId="29D53663" w14:textId="77777777" w:rsidR="00991975" w:rsidRPr="00073B89" w:rsidRDefault="00991975" w:rsidP="00991975"/>
    <w:p w14:paraId="73942A83" w14:textId="36DB4737" w:rsidR="00991975" w:rsidRPr="00073B89" w:rsidRDefault="00991975" w:rsidP="00991975">
      <w:pPr>
        <w:numPr>
          <w:ilvl w:val="0"/>
          <w:numId w:val="9"/>
        </w:numPr>
        <w:ind w:left="0" w:firstLine="0"/>
        <w:jc w:val="both"/>
      </w:pPr>
      <w:r>
        <w:t xml:space="preserve">AOP 066 </w:t>
      </w:r>
      <w:r w:rsidRPr="0041189F">
        <w:t>Novac na računu kod Hrvatske narodne banke</w:t>
      </w:r>
      <w:r>
        <w:t xml:space="preserve"> – odnosi se na </w:t>
      </w:r>
      <w:r>
        <w:rPr>
          <w:bCs/>
        </w:rPr>
        <w:t>uplaćena j</w:t>
      </w:r>
      <w:r w:rsidRPr="00073B89">
        <w:rPr>
          <w:bCs/>
        </w:rPr>
        <w:t>amstva</w:t>
      </w:r>
      <w:r>
        <w:rPr>
          <w:bCs/>
        </w:rPr>
        <w:t xml:space="preserve"> gospodarskih subjekata i dobavljača </w:t>
      </w:r>
      <w:r w:rsidRPr="00073B89">
        <w:rPr>
          <w:bCs/>
        </w:rPr>
        <w:t>(za ozbiljnost ponude</w:t>
      </w:r>
      <w:r>
        <w:rPr>
          <w:bCs/>
        </w:rPr>
        <w:t xml:space="preserve"> i za uredno ispunjenje </w:t>
      </w:r>
      <w:r w:rsidRPr="00073B89">
        <w:rPr>
          <w:bCs/>
        </w:rPr>
        <w:t>ugovora</w:t>
      </w:r>
      <w:r>
        <w:rPr>
          <w:bCs/>
        </w:rPr>
        <w:t xml:space="preserve"> </w:t>
      </w:r>
      <w:r w:rsidR="00C26356">
        <w:rPr>
          <w:bCs/>
        </w:rPr>
        <w:t xml:space="preserve">sklopljenih temeljem Zakona </w:t>
      </w:r>
      <w:r>
        <w:rPr>
          <w:bCs/>
        </w:rPr>
        <w:t>o javnoj</w:t>
      </w:r>
      <w:r w:rsidR="00976C87">
        <w:rPr>
          <w:bCs/>
        </w:rPr>
        <w:t xml:space="preserve"> </w:t>
      </w:r>
      <w:r>
        <w:rPr>
          <w:bCs/>
        </w:rPr>
        <w:t>nabavi</w:t>
      </w:r>
      <w:r w:rsidRPr="00073B89">
        <w:rPr>
          <w:bCs/>
        </w:rPr>
        <w:t>).</w:t>
      </w:r>
    </w:p>
    <w:p w14:paraId="162FC66C" w14:textId="77777777" w:rsidR="00991975" w:rsidRPr="00073B89" w:rsidRDefault="00991975" w:rsidP="00991975">
      <w:pPr>
        <w:spacing w:after="40"/>
        <w:rPr>
          <w:bCs/>
        </w:rPr>
      </w:pPr>
    </w:p>
    <w:p w14:paraId="2C4100FE" w14:textId="77777777" w:rsidR="00991975" w:rsidRPr="0041189F" w:rsidRDefault="00991975" w:rsidP="00991975">
      <w:pPr>
        <w:numPr>
          <w:ilvl w:val="0"/>
          <w:numId w:val="9"/>
        </w:numPr>
        <w:ind w:left="0" w:firstLine="0"/>
        <w:jc w:val="both"/>
        <w:rPr>
          <w:b/>
        </w:rPr>
      </w:pPr>
      <w:r w:rsidRPr="0041189F">
        <w:t xml:space="preserve">AOP 081 Ostala potraživanja – odnosi se </w:t>
      </w:r>
      <w:r w:rsidRPr="00073B89">
        <w:rPr>
          <w:bCs/>
        </w:rPr>
        <w:t>potraživanja za naknadu za bolovanje na teret HZZO-a.</w:t>
      </w:r>
    </w:p>
    <w:p w14:paraId="54CFE0F8" w14:textId="77777777" w:rsidR="00991975" w:rsidRPr="0041189F" w:rsidRDefault="00991975" w:rsidP="00991975">
      <w:pPr>
        <w:jc w:val="both"/>
        <w:rPr>
          <w:b/>
        </w:rPr>
      </w:pPr>
    </w:p>
    <w:p w14:paraId="1BFF4FFC" w14:textId="6A65C299" w:rsidR="00991975" w:rsidRPr="00383F76" w:rsidRDefault="00991975" w:rsidP="00991975">
      <w:pPr>
        <w:numPr>
          <w:ilvl w:val="0"/>
          <w:numId w:val="9"/>
        </w:numPr>
        <w:ind w:left="0" w:firstLine="0"/>
        <w:jc w:val="both"/>
      </w:pPr>
      <w:r w:rsidRPr="00383F76">
        <w:t xml:space="preserve">AOP 150 Potraživanja za pomoći proračunskim korisnicima iz proračuna koji im nije nadležan – evidentiran je prihod </w:t>
      </w:r>
      <w:r w:rsidRPr="00383F76">
        <w:rPr>
          <w:bCs/>
        </w:rPr>
        <w:t xml:space="preserve">od suosnivača Fonda za obnovu, Krapinsko-zagorske županije koji je uplaćen u 2021. </w:t>
      </w:r>
      <w:r w:rsidR="008E0E27" w:rsidRPr="00383F76">
        <w:rPr>
          <w:bCs/>
        </w:rPr>
        <w:t>a b</w:t>
      </w:r>
      <w:r w:rsidRPr="00383F76">
        <w:rPr>
          <w:bCs/>
        </w:rPr>
        <w:t>iti će</w:t>
      </w:r>
      <w:r w:rsidR="008E0E27" w:rsidRPr="00383F76">
        <w:rPr>
          <w:bCs/>
        </w:rPr>
        <w:t xml:space="preserve"> evidencijski prenesen u </w:t>
      </w:r>
      <w:r w:rsidRPr="00383F76">
        <w:rPr>
          <w:bCs/>
        </w:rPr>
        <w:t>2022. godin</w:t>
      </w:r>
      <w:r w:rsidR="008E0E27" w:rsidRPr="00383F76">
        <w:rPr>
          <w:bCs/>
        </w:rPr>
        <w:t xml:space="preserve">u. </w:t>
      </w:r>
    </w:p>
    <w:p w14:paraId="2CAC3D6E" w14:textId="77777777" w:rsidR="00991975" w:rsidRDefault="00991975" w:rsidP="00991975">
      <w:pPr>
        <w:spacing w:after="40"/>
        <w:rPr>
          <w:bCs/>
        </w:rPr>
      </w:pPr>
    </w:p>
    <w:p w14:paraId="66BD785B" w14:textId="77777777" w:rsidR="00991975" w:rsidRDefault="00991975" w:rsidP="00991975">
      <w:pPr>
        <w:numPr>
          <w:ilvl w:val="0"/>
          <w:numId w:val="9"/>
        </w:numPr>
        <w:ind w:left="0" w:firstLine="0"/>
        <w:jc w:val="both"/>
        <w:rPr>
          <w:bCs/>
        </w:rPr>
      </w:pPr>
      <w:r>
        <w:t xml:space="preserve">AOP 172 Obveze za zaposlene – </w:t>
      </w:r>
      <w:r w:rsidRPr="00073B89">
        <w:rPr>
          <w:bCs/>
        </w:rPr>
        <w:t>odnosi na plaće djelatnika za prosinac 2021.</w:t>
      </w:r>
      <w:r>
        <w:rPr>
          <w:bCs/>
        </w:rPr>
        <w:t xml:space="preserve"> godine, a koja je isplaćena u siječnju 2022. godine.</w:t>
      </w:r>
    </w:p>
    <w:p w14:paraId="0DBF1B45" w14:textId="77777777" w:rsidR="00991975" w:rsidRPr="00073B89" w:rsidRDefault="00991975" w:rsidP="00991975">
      <w:pPr>
        <w:spacing w:after="40"/>
        <w:rPr>
          <w:bCs/>
        </w:rPr>
      </w:pPr>
    </w:p>
    <w:p w14:paraId="7785E23B" w14:textId="4EE48F77" w:rsidR="00991975" w:rsidRDefault="00991975" w:rsidP="00991975">
      <w:pPr>
        <w:numPr>
          <w:ilvl w:val="0"/>
          <w:numId w:val="9"/>
        </w:numPr>
        <w:ind w:left="0" w:firstLine="0"/>
        <w:jc w:val="both"/>
        <w:rPr>
          <w:bCs/>
        </w:rPr>
      </w:pPr>
      <w:r>
        <w:rPr>
          <w:bCs/>
        </w:rPr>
        <w:t xml:space="preserve">AOP 173 Obveze za materijalne rashode – </w:t>
      </w:r>
      <w:r w:rsidRPr="00073B89">
        <w:rPr>
          <w:bCs/>
        </w:rPr>
        <w:t>o</w:t>
      </w:r>
      <w:r>
        <w:rPr>
          <w:bCs/>
        </w:rPr>
        <w:t xml:space="preserve">buhvaća </w:t>
      </w:r>
      <w:r w:rsidRPr="00073B89">
        <w:rPr>
          <w:bCs/>
        </w:rPr>
        <w:t>obveze za naknade troškova</w:t>
      </w:r>
      <w:r>
        <w:rPr>
          <w:bCs/>
        </w:rPr>
        <w:t xml:space="preserve"> prijevoza</w:t>
      </w:r>
      <w:r w:rsidRPr="00073B89">
        <w:rPr>
          <w:bCs/>
        </w:rPr>
        <w:t xml:space="preserve"> zaposlenicima za prosinac 2021.</w:t>
      </w:r>
      <w:r>
        <w:rPr>
          <w:bCs/>
        </w:rPr>
        <w:t>, kao i ostale rashode poslovanja Fonda za obnovu u prosincu 2021. godine, koje su podmirene u siječnju 2022. godine.</w:t>
      </w:r>
    </w:p>
    <w:p w14:paraId="6644EC2A" w14:textId="77777777" w:rsidR="00991975" w:rsidRPr="00073B89" w:rsidRDefault="00991975" w:rsidP="00991975">
      <w:pPr>
        <w:jc w:val="both"/>
        <w:rPr>
          <w:bCs/>
        </w:rPr>
      </w:pPr>
    </w:p>
    <w:p w14:paraId="0DE46AD7" w14:textId="0E70C5DE" w:rsidR="00991975" w:rsidRPr="00DC493E" w:rsidRDefault="00991975" w:rsidP="00670FE7">
      <w:pPr>
        <w:numPr>
          <w:ilvl w:val="0"/>
          <w:numId w:val="9"/>
        </w:numPr>
        <w:ind w:left="0" w:firstLine="0"/>
        <w:jc w:val="both"/>
        <w:rPr>
          <w:rFonts w:eastAsia="Times New Roman"/>
          <w:szCs w:val="24"/>
          <w:lang w:eastAsia="hr-HR"/>
        </w:rPr>
      </w:pPr>
      <w:r w:rsidRPr="00DC493E">
        <w:rPr>
          <w:rFonts w:eastAsia="Times New Roman"/>
          <w:szCs w:val="24"/>
          <w:lang w:eastAsia="hr-HR"/>
        </w:rPr>
        <w:t xml:space="preserve">AOP 178 Obveze za subvencije – odnosi se na račune iz prosinca 2021. godine kojima je dospijeće u 2022. godini, a za usluge u svrhu obnove zgrada u vlasništvu ili djelomičnom vlasništvu trgovačkih društava izvan javnog sektora. Isti su plaćeni u siječnju 2022. godine. </w:t>
      </w:r>
    </w:p>
    <w:p w14:paraId="0EE36CFC" w14:textId="77777777" w:rsidR="00991975" w:rsidRPr="0012529F" w:rsidRDefault="00991975" w:rsidP="00991975">
      <w:pPr>
        <w:jc w:val="both"/>
        <w:rPr>
          <w:rFonts w:eastAsia="Times New Roman"/>
          <w:bCs/>
          <w:szCs w:val="24"/>
          <w:lang w:eastAsia="hr-HR"/>
        </w:rPr>
      </w:pPr>
    </w:p>
    <w:p w14:paraId="45D8BFD6" w14:textId="6565255E" w:rsidR="00991975" w:rsidRPr="00015288" w:rsidRDefault="00991975" w:rsidP="00991975">
      <w:pPr>
        <w:numPr>
          <w:ilvl w:val="0"/>
          <w:numId w:val="9"/>
        </w:numPr>
        <w:ind w:left="0" w:firstLine="0"/>
        <w:jc w:val="both"/>
        <w:rPr>
          <w:rFonts w:eastAsia="Calibri"/>
          <w:szCs w:val="24"/>
        </w:rPr>
      </w:pPr>
      <w:r w:rsidRPr="00015288">
        <w:rPr>
          <w:rFonts w:eastAsia="Times New Roman"/>
          <w:bCs/>
          <w:szCs w:val="24"/>
          <w:lang w:eastAsia="hr-HR"/>
        </w:rPr>
        <w:t xml:space="preserve">AOP 180 – Obveze za naknade građanima i kućanstvima – odnosi se na račune iz prosinca 2021. godine kojima je dospijeće u 2022. godini, a za usluge </w:t>
      </w:r>
      <w:r w:rsidRPr="00015288">
        <w:rPr>
          <w:szCs w:val="24"/>
        </w:rPr>
        <w:t>u svrhu obnove nekretnina koje su u vlasništvu odnosno suvlasništvu fizičkih osoba. Isti su plaćeni u siječnju 2022. godine.</w:t>
      </w:r>
      <w:r w:rsidR="00DB11AC" w:rsidRPr="00015288">
        <w:rPr>
          <w:szCs w:val="24"/>
        </w:rPr>
        <w:t xml:space="preserve"> </w:t>
      </w:r>
    </w:p>
    <w:p w14:paraId="3775BCB2" w14:textId="77777777" w:rsidR="00991975" w:rsidRDefault="00991975" w:rsidP="00991975">
      <w:pPr>
        <w:jc w:val="both"/>
        <w:rPr>
          <w:rFonts w:eastAsia="Calibri"/>
          <w:szCs w:val="24"/>
        </w:rPr>
      </w:pPr>
    </w:p>
    <w:p w14:paraId="3AD4D610" w14:textId="705002AE" w:rsidR="00991975" w:rsidRDefault="00991975" w:rsidP="00991975">
      <w:pPr>
        <w:numPr>
          <w:ilvl w:val="0"/>
          <w:numId w:val="9"/>
        </w:numPr>
        <w:ind w:left="0" w:firstLine="0"/>
        <w:jc w:val="both"/>
        <w:rPr>
          <w:bCs/>
        </w:rPr>
      </w:pPr>
      <w:r>
        <w:rPr>
          <w:bCs/>
        </w:rPr>
        <w:t>AOP 182 Ostale tekuće obveze – najvećim dijelom se odnose na obveze za uplaćene jamčevine (508.129 kn) i obveze za bolovanje na teret HZZO-a (2.322 kn).</w:t>
      </w:r>
      <w:r w:rsidR="00FB0B80">
        <w:rPr>
          <w:bCs/>
        </w:rPr>
        <w:t xml:space="preserve"> </w:t>
      </w:r>
    </w:p>
    <w:p w14:paraId="1224FA6F" w14:textId="77777777" w:rsidR="00991975" w:rsidRDefault="00991975" w:rsidP="00991975">
      <w:pPr>
        <w:jc w:val="both"/>
        <w:rPr>
          <w:bCs/>
        </w:rPr>
      </w:pPr>
    </w:p>
    <w:p w14:paraId="2FA826E7" w14:textId="3F04C96B" w:rsidR="00991975" w:rsidRDefault="00991975" w:rsidP="00991975">
      <w:pPr>
        <w:numPr>
          <w:ilvl w:val="0"/>
          <w:numId w:val="9"/>
        </w:numPr>
        <w:ind w:left="0" w:firstLine="0"/>
        <w:jc w:val="both"/>
        <w:rPr>
          <w:bCs/>
        </w:rPr>
      </w:pPr>
      <w:r>
        <w:rPr>
          <w:bCs/>
        </w:rPr>
        <w:t>AOP 183 – Obveze za nabavu nefinancijske imovine – obveze za kupljenu računalnu opremu, kojima je dospijeće računa u 2022. godini, te su sukladno tome plaćeni po dospijeću.</w:t>
      </w:r>
    </w:p>
    <w:p w14:paraId="60E936B2" w14:textId="77777777" w:rsidR="00991975" w:rsidRDefault="00991975" w:rsidP="00991975">
      <w:pPr>
        <w:jc w:val="both"/>
        <w:rPr>
          <w:bCs/>
        </w:rPr>
      </w:pPr>
    </w:p>
    <w:p w14:paraId="6DE42F24" w14:textId="6777CF52" w:rsidR="00991975" w:rsidRPr="00991975" w:rsidRDefault="00991975" w:rsidP="00991975">
      <w:pPr>
        <w:numPr>
          <w:ilvl w:val="0"/>
          <w:numId w:val="9"/>
        </w:numPr>
        <w:ind w:left="0" w:firstLine="0"/>
        <w:jc w:val="both"/>
        <w:rPr>
          <w:bCs/>
        </w:rPr>
      </w:pPr>
      <w:r w:rsidRPr="00991975">
        <w:rPr>
          <w:bCs/>
        </w:rPr>
        <w:t xml:space="preserve">AOP 253 i 254 </w:t>
      </w:r>
      <w:proofErr w:type="spellStart"/>
      <w:r w:rsidRPr="00991975">
        <w:rPr>
          <w:bCs/>
        </w:rPr>
        <w:t>Izvanbilančni</w:t>
      </w:r>
      <w:proofErr w:type="spellEnd"/>
      <w:r w:rsidRPr="00991975">
        <w:rPr>
          <w:bCs/>
        </w:rPr>
        <w:t xml:space="preserve"> zapisi – </w:t>
      </w:r>
      <w:r w:rsidRPr="00DB0A97">
        <w:rPr>
          <w:bCs/>
        </w:rPr>
        <w:t>primljen</w:t>
      </w:r>
      <w:r w:rsidR="00383F76">
        <w:rPr>
          <w:bCs/>
        </w:rPr>
        <w:t>i</w:t>
      </w:r>
      <w:r w:rsidRPr="00DB0A97">
        <w:rPr>
          <w:bCs/>
        </w:rPr>
        <w:t xml:space="preserve"> instrumenti osiguranja, odnosno jamstva dobavljača za uredno ispunjenje ugovora o javnoj nabavi. Fond za</w:t>
      </w:r>
      <w:r w:rsidRPr="00991975">
        <w:rPr>
          <w:bCs/>
        </w:rPr>
        <w:t xml:space="preserve"> obnovu tijekom 2021. godine nije imao sudskih sporova</w:t>
      </w:r>
      <w:r w:rsidR="00383F76">
        <w:rPr>
          <w:bCs/>
        </w:rPr>
        <w:t xml:space="preserve"> niti je davao jamstva i druge instrumente osiguranja</w:t>
      </w:r>
      <w:r w:rsidRPr="00991975">
        <w:rPr>
          <w:bCs/>
        </w:rPr>
        <w:t>.</w:t>
      </w:r>
    </w:p>
    <w:p w14:paraId="3AF76066" w14:textId="77777777" w:rsidR="00020E67" w:rsidRDefault="00020E67" w:rsidP="00EB748F">
      <w:pPr>
        <w:jc w:val="both"/>
        <w:rPr>
          <w:bCs/>
        </w:rPr>
      </w:pPr>
    </w:p>
    <w:p w14:paraId="3F3A096A" w14:textId="77777777" w:rsidR="00020E67" w:rsidRDefault="00020E67" w:rsidP="00EB748F">
      <w:pPr>
        <w:jc w:val="both"/>
        <w:rPr>
          <w:bCs/>
        </w:rPr>
      </w:pPr>
    </w:p>
    <w:p w14:paraId="3AC8C3C5" w14:textId="77777777" w:rsidR="006F4043" w:rsidRDefault="006F4043" w:rsidP="006F4043">
      <w:pPr>
        <w:jc w:val="both"/>
      </w:pPr>
      <w:r>
        <w:t xml:space="preserve">Fond za obnovu je tijekom 2021. godine primio 14 donacija usluga za poslove obnove, koje se nisu mogle ugovoriti redovnim postupcima javne nabave. Tada važećim Prvim programom mjera obnove zgrada oštećenih potresom na području Grada Zagreba, Krapinsko-zagorske županije i Zagrebačke županije („Narodne novine“ broj 119/20) i Programom mjera obnove zgrada oštećenih potresom na području Grada Zagreba, Krapinsko-zagorske županije, Zagrebačke županije, Sisačko-moslavačke županije i Karlovačke županije („Narodne novine“ </w:t>
      </w:r>
      <w:r>
        <w:lastRenderedPageBreak/>
        <w:t>broj br. 17/21) utvrđene su najviše cijene usluga operativne koordinacije, kontrole projekata i tehničko-financijske kontrole i stručnog nadzora, a koje su preniske i za koje postupke nabave se nitko nije javio. Za tu svrhu su Fondu za obnovu ponuđene donacije tih usluga. Fond za obnovu nije imao transakcija u predmetnim donacijama, nego su temeljem ugovora o donaciji uslugu donirali pružatelji usluga ili je pružatelju usluge iznos podmirila fizička osoba.</w:t>
      </w:r>
    </w:p>
    <w:p w14:paraId="1D2DC83F" w14:textId="77777777" w:rsidR="006F4043" w:rsidRDefault="006F4043" w:rsidP="006F4043">
      <w:pPr>
        <w:jc w:val="both"/>
      </w:pPr>
      <w:r>
        <w:t>Ukupna vrijednost usluga po sklopljenim ugovorima o donacijama iznosi 11.124 kn bez PDV-a, gdje je kod 11 ugovora uslugu donirala tvrtka koja je pružatelj usluge (3.124 kn), a kod tri ugovora osiguravatelj financiranja je fizička osoba (8.000 kn bez PDV-a).</w:t>
      </w:r>
    </w:p>
    <w:p w14:paraId="4F0F2F76" w14:textId="77777777" w:rsidR="00EB748F" w:rsidRDefault="00EB748F" w:rsidP="00EB748F">
      <w:pPr>
        <w:jc w:val="both"/>
        <w:rPr>
          <w:bCs/>
        </w:rPr>
      </w:pPr>
    </w:p>
    <w:p w14:paraId="0C9C6295" w14:textId="77777777" w:rsidR="00142757" w:rsidRDefault="00142757" w:rsidP="00EB748F">
      <w:pPr>
        <w:jc w:val="both"/>
        <w:rPr>
          <w:bCs/>
        </w:rPr>
      </w:pPr>
    </w:p>
    <w:p w14:paraId="7EC5E4A0" w14:textId="14755D11" w:rsidR="00C13C6E" w:rsidRPr="00261FEE" w:rsidRDefault="00C13C6E" w:rsidP="00C13C6E">
      <w:pPr>
        <w:rPr>
          <w:u w:val="single"/>
        </w:rPr>
      </w:pPr>
      <w:r w:rsidRPr="00261FEE">
        <w:rPr>
          <w:u w:val="single"/>
        </w:rPr>
        <w:t xml:space="preserve">BILJEŠKE UZ IZVJEŠTAJ O PRIHODIMA I RASHODIMA, PRIMICIMA I IZDACIMA </w:t>
      </w:r>
    </w:p>
    <w:p w14:paraId="3D5FD819" w14:textId="77777777" w:rsidR="00C13C6E" w:rsidRPr="004F46CB" w:rsidRDefault="00C13C6E" w:rsidP="00C13C6E">
      <w:pPr>
        <w:jc w:val="both"/>
        <w:rPr>
          <w:color w:val="FF0000"/>
          <w:u w:val="single"/>
        </w:rPr>
      </w:pPr>
    </w:p>
    <w:p w14:paraId="20F20AC7" w14:textId="77777777" w:rsidR="00C13C6E" w:rsidRPr="004F46CB" w:rsidRDefault="00C13C6E" w:rsidP="00C13C6E">
      <w:pPr>
        <w:jc w:val="both"/>
        <w:rPr>
          <w:color w:val="FF0000"/>
          <w:u w:val="single"/>
        </w:rPr>
      </w:pPr>
    </w:p>
    <w:p w14:paraId="081AFAB9" w14:textId="77777777" w:rsidR="00C13C6E" w:rsidRDefault="00C13C6E" w:rsidP="00C13C6E">
      <w:pPr>
        <w:ind w:left="720"/>
        <w:jc w:val="both"/>
        <w:rPr>
          <w:rFonts w:eastAsia="Times New Roman"/>
          <w:szCs w:val="24"/>
          <w:lang w:eastAsia="hr-HR"/>
        </w:rPr>
      </w:pPr>
    </w:p>
    <w:p w14:paraId="26E0E4C5" w14:textId="01CE2E1B" w:rsidR="00A978DB" w:rsidRPr="008C33D9" w:rsidRDefault="00C13C6E" w:rsidP="008C33D9">
      <w:pPr>
        <w:numPr>
          <w:ilvl w:val="0"/>
          <w:numId w:val="10"/>
        </w:numPr>
        <w:ind w:left="0" w:firstLine="0"/>
        <w:jc w:val="both"/>
        <w:rPr>
          <w:szCs w:val="24"/>
        </w:rPr>
      </w:pPr>
      <w:r w:rsidRPr="008C33D9">
        <w:rPr>
          <w:rFonts w:eastAsia="Times New Roman"/>
          <w:szCs w:val="24"/>
          <w:lang w:eastAsia="hr-HR"/>
        </w:rPr>
        <w:t>AOP 064 Tekuće pomoći korisnicima iz proračuna koji im nije nadležan</w:t>
      </w:r>
      <w:r w:rsidR="00A8668F" w:rsidRPr="008C33D9">
        <w:rPr>
          <w:rFonts w:eastAsia="Times New Roman"/>
          <w:szCs w:val="24"/>
          <w:lang w:eastAsia="hr-HR"/>
        </w:rPr>
        <w:t xml:space="preserve"> – </w:t>
      </w:r>
      <w:r w:rsidR="00A978DB" w:rsidRPr="008C33D9">
        <w:rPr>
          <w:rFonts w:eastAsia="Times New Roman"/>
          <w:szCs w:val="24"/>
          <w:lang w:eastAsia="hr-HR"/>
        </w:rPr>
        <w:t xml:space="preserve">predstavljaju prihode </w:t>
      </w:r>
      <w:r w:rsidR="00AD0D63" w:rsidRPr="008C33D9">
        <w:rPr>
          <w:rFonts w:eastAsia="Times New Roman"/>
          <w:szCs w:val="24"/>
          <w:lang w:eastAsia="hr-HR"/>
        </w:rPr>
        <w:t xml:space="preserve">uplaćene </w:t>
      </w:r>
      <w:r w:rsidR="00A978DB" w:rsidRPr="008C33D9">
        <w:rPr>
          <w:szCs w:val="24"/>
        </w:rPr>
        <w:t>od suosnivača Fonda za obnovu, kao refundacija troškova sukladno ugovoru o osnivanju.</w:t>
      </w:r>
      <w:r w:rsidR="00E576AA" w:rsidRPr="008C33D9">
        <w:rPr>
          <w:szCs w:val="24"/>
        </w:rPr>
        <w:t xml:space="preserve"> </w:t>
      </w:r>
      <w:r w:rsidR="008C33D9">
        <w:rPr>
          <w:szCs w:val="24"/>
        </w:rPr>
        <w:t>Grad Zagreb do izrade ove bilješke</w:t>
      </w:r>
      <w:r w:rsidR="00E576AA" w:rsidRPr="008C33D9">
        <w:rPr>
          <w:szCs w:val="24"/>
        </w:rPr>
        <w:t xml:space="preserve"> nije </w:t>
      </w:r>
      <w:r w:rsidR="00863830" w:rsidRPr="008C33D9">
        <w:rPr>
          <w:szCs w:val="24"/>
        </w:rPr>
        <w:t>podmirio 1.799.604 kn</w:t>
      </w:r>
      <w:r w:rsidR="00A67322">
        <w:rPr>
          <w:szCs w:val="24"/>
        </w:rPr>
        <w:t xml:space="preserve">, a Krapinsko-zagorska županija </w:t>
      </w:r>
      <w:r w:rsidR="00CB7EDF">
        <w:rPr>
          <w:szCs w:val="24"/>
        </w:rPr>
        <w:t>70.881 kn</w:t>
      </w:r>
      <w:r w:rsidR="00E576AA" w:rsidRPr="008C33D9">
        <w:rPr>
          <w:szCs w:val="24"/>
        </w:rPr>
        <w:t xml:space="preserve"> za refundaciju troškova Fonda za obnovu</w:t>
      </w:r>
      <w:r w:rsidR="008C33D9" w:rsidRPr="008C33D9">
        <w:rPr>
          <w:szCs w:val="24"/>
        </w:rPr>
        <w:t>.</w:t>
      </w:r>
    </w:p>
    <w:p w14:paraId="6B8550DA" w14:textId="77777777" w:rsidR="00A978DB" w:rsidRPr="009579ED" w:rsidRDefault="00A978DB" w:rsidP="008C33D9">
      <w:pPr>
        <w:jc w:val="both"/>
        <w:rPr>
          <w:szCs w:val="24"/>
        </w:rPr>
      </w:pPr>
    </w:p>
    <w:p w14:paraId="78CBAFEB" w14:textId="4970BC6F" w:rsidR="002E732B" w:rsidRPr="009419EB" w:rsidRDefault="00A978DB" w:rsidP="002E732B">
      <w:pPr>
        <w:numPr>
          <w:ilvl w:val="0"/>
          <w:numId w:val="10"/>
        </w:numPr>
        <w:ind w:left="0" w:firstLine="0"/>
        <w:jc w:val="both"/>
        <w:rPr>
          <w:rFonts w:eastAsia="Times New Roman"/>
          <w:szCs w:val="24"/>
          <w:lang w:eastAsia="hr-HR"/>
        </w:rPr>
      </w:pPr>
      <w:r w:rsidRPr="009419EB">
        <w:rPr>
          <w:rFonts w:eastAsia="Times New Roman"/>
          <w:szCs w:val="24"/>
          <w:lang w:eastAsia="hr-HR"/>
        </w:rPr>
        <w:t xml:space="preserve">AOP 124 Tekuće donacije </w:t>
      </w:r>
      <w:r w:rsidR="00A8668F" w:rsidRPr="009419EB">
        <w:rPr>
          <w:rFonts w:eastAsia="Times New Roman"/>
          <w:szCs w:val="24"/>
          <w:lang w:eastAsia="hr-HR"/>
        </w:rPr>
        <w:t xml:space="preserve">– </w:t>
      </w:r>
      <w:r w:rsidR="009419EB">
        <w:rPr>
          <w:rFonts w:eastAsia="Times New Roman"/>
          <w:szCs w:val="24"/>
          <w:lang w:eastAsia="hr-HR"/>
        </w:rPr>
        <w:t xml:space="preserve">iznos </w:t>
      </w:r>
      <w:r w:rsidR="009419EB" w:rsidRPr="009419EB">
        <w:rPr>
          <w:szCs w:val="24"/>
        </w:rPr>
        <w:t>donacija</w:t>
      </w:r>
      <w:r w:rsidR="009419EB">
        <w:rPr>
          <w:szCs w:val="24"/>
        </w:rPr>
        <w:t xml:space="preserve"> uplaćen u državni proračun </w:t>
      </w:r>
      <w:r w:rsidR="009419EB" w:rsidRPr="009419EB">
        <w:rPr>
          <w:szCs w:val="24"/>
        </w:rPr>
        <w:t>i</w:t>
      </w:r>
      <w:r w:rsidR="00863830">
        <w:rPr>
          <w:szCs w:val="24"/>
        </w:rPr>
        <w:t xml:space="preserve"> </w:t>
      </w:r>
      <w:r w:rsidR="009419EB" w:rsidRPr="009419EB">
        <w:rPr>
          <w:szCs w:val="24"/>
        </w:rPr>
        <w:t>dodijeljen Fondu za obnovu u svrhu isplate novčanih</w:t>
      </w:r>
      <w:r w:rsidR="00F5504D">
        <w:rPr>
          <w:szCs w:val="24"/>
        </w:rPr>
        <w:t xml:space="preserve"> naknada za štete uzrokovane </w:t>
      </w:r>
      <w:r w:rsidR="00604823">
        <w:rPr>
          <w:szCs w:val="24"/>
        </w:rPr>
        <w:t xml:space="preserve">potresom </w:t>
      </w:r>
      <w:r w:rsidR="009419EB" w:rsidRPr="009419EB">
        <w:rPr>
          <w:szCs w:val="24"/>
        </w:rPr>
        <w:t>(AOP 269).</w:t>
      </w:r>
    </w:p>
    <w:p w14:paraId="7580146A" w14:textId="77777777" w:rsidR="00C13C6E" w:rsidRDefault="00C13C6E" w:rsidP="00C13C6E"/>
    <w:p w14:paraId="4D9C0C09" w14:textId="77777777" w:rsidR="00C13C6E" w:rsidRDefault="00C13C6E" w:rsidP="00C13C6E"/>
    <w:p w14:paraId="57E85FF8" w14:textId="6A1C2806" w:rsidR="001D7075" w:rsidRDefault="00A8129F" w:rsidP="001D7075">
      <w:pPr>
        <w:numPr>
          <w:ilvl w:val="0"/>
          <w:numId w:val="10"/>
        </w:numPr>
        <w:ind w:left="0" w:firstLine="0"/>
        <w:jc w:val="both"/>
      </w:pPr>
      <w:r>
        <w:t xml:space="preserve">AOP 149 </w:t>
      </w:r>
      <w:r w:rsidR="00EE0196">
        <w:t xml:space="preserve">Rashodi za zaposlene </w:t>
      </w:r>
      <w:r w:rsidR="00A8668F">
        <w:t xml:space="preserve">– </w:t>
      </w:r>
      <w:r w:rsidR="00EE0196">
        <w:t xml:space="preserve">obuhvaćaju rashode za redovan rad 48 zaposlenika i </w:t>
      </w:r>
      <w:r w:rsidR="00863830">
        <w:t xml:space="preserve">dva </w:t>
      </w:r>
      <w:r w:rsidR="00EE0196">
        <w:t>privremeno premještena državna službenika.</w:t>
      </w:r>
      <w:r w:rsidR="001D7075">
        <w:t xml:space="preserve"> </w:t>
      </w:r>
      <w:r w:rsidR="00863830">
        <w:t xml:space="preserve">Tijekom izvještajnog razdoblja obračunate su plaće u naravi za korištenje parkirnih mjesta u iznosu od </w:t>
      </w:r>
      <w:r w:rsidR="008D55B7">
        <w:t>20.195 kn</w:t>
      </w:r>
      <w:r w:rsidR="00863830">
        <w:t xml:space="preserve">, ali su </w:t>
      </w:r>
      <w:r w:rsidR="009148C2">
        <w:t xml:space="preserve">računovodstveno </w:t>
      </w:r>
      <w:r w:rsidR="00863830">
        <w:t xml:space="preserve">evidentirane na kontu 3111 Plaće za redovan rad. </w:t>
      </w:r>
    </w:p>
    <w:p w14:paraId="6D873B33" w14:textId="77777777" w:rsidR="00863830" w:rsidRDefault="00863830" w:rsidP="00863830">
      <w:pPr>
        <w:jc w:val="both"/>
      </w:pPr>
    </w:p>
    <w:p w14:paraId="08B696AC" w14:textId="6ABC912E" w:rsidR="001D7075" w:rsidRPr="00C13C6E" w:rsidRDefault="001D7075" w:rsidP="001D7075">
      <w:pPr>
        <w:numPr>
          <w:ilvl w:val="0"/>
          <w:numId w:val="10"/>
        </w:numPr>
        <w:ind w:left="0" w:firstLine="0"/>
        <w:jc w:val="both"/>
      </w:pPr>
      <w:r>
        <w:t xml:space="preserve">AOP 175 Usluge promidžbe i informiranja </w:t>
      </w:r>
      <w:r w:rsidR="00A8668F">
        <w:t xml:space="preserve">– </w:t>
      </w:r>
      <w:r>
        <w:t xml:space="preserve">obuhvaćaju </w:t>
      </w:r>
      <w:r w:rsidRPr="001D7075">
        <w:t>rashode za objavu postupaka jednostavne</w:t>
      </w:r>
      <w:r w:rsidR="00DF4007">
        <w:t xml:space="preserve"> i javne </w:t>
      </w:r>
      <w:r w:rsidRPr="001D7075">
        <w:t xml:space="preserve">nabave </w:t>
      </w:r>
      <w:r w:rsidR="006F55A4">
        <w:t>te</w:t>
      </w:r>
      <w:r w:rsidRPr="001D7075">
        <w:t xml:space="preserve"> postupaka za uspostavu dinamičkog sustava javne nabave u Elektroničkom oglasniku javne nabave R</w:t>
      </w:r>
      <w:r>
        <w:t xml:space="preserve">epublike </w:t>
      </w:r>
      <w:r w:rsidRPr="001D7075">
        <w:t>H</w:t>
      </w:r>
      <w:r>
        <w:t>rvatske</w:t>
      </w:r>
      <w:r w:rsidRPr="001D7075">
        <w:t>,</w:t>
      </w:r>
      <w:r>
        <w:t xml:space="preserve"> </w:t>
      </w:r>
      <w:r w:rsidRPr="001D7075">
        <w:t>objavu oglasa za natj</w:t>
      </w:r>
      <w:r>
        <w:t xml:space="preserve">ečaj za zapošljavanje, te usluge </w:t>
      </w:r>
      <w:r w:rsidRPr="001D7075">
        <w:t>praćenj</w:t>
      </w:r>
      <w:r>
        <w:t>a</w:t>
      </w:r>
      <w:r w:rsidRPr="001D7075">
        <w:t>, selekcij</w:t>
      </w:r>
      <w:r>
        <w:t>e</w:t>
      </w:r>
      <w:r w:rsidRPr="001D7075">
        <w:t>, pregled</w:t>
      </w:r>
      <w:r>
        <w:t>a</w:t>
      </w:r>
      <w:r w:rsidRPr="001D7075">
        <w:t xml:space="preserve"> i analiz</w:t>
      </w:r>
      <w:r>
        <w:t>e</w:t>
      </w:r>
      <w:r w:rsidRPr="001D7075">
        <w:t xml:space="preserve"> objava u medijima</w:t>
      </w:r>
      <w:r>
        <w:t>.</w:t>
      </w:r>
    </w:p>
    <w:p w14:paraId="3CBBCB4D" w14:textId="77777777" w:rsidR="00C13C6E" w:rsidRDefault="00C13C6E" w:rsidP="00073B89">
      <w:pPr>
        <w:rPr>
          <w:b/>
          <w:u w:val="single"/>
        </w:rPr>
      </w:pPr>
    </w:p>
    <w:p w14:paraId="0B731BB2" w14:textId="51495262" w:rsidR="00C13C6E" w:rsidRPr="001D7075" w:rsidRDefault="001D7075" w:rsidP="001D7075">
      <w:pPr>
        <w:numPr>
          <w:ilvl w:val="0"/>
          <w:numId w:val="10"/>
        </w:numPr>
        <w:ind w:left="0" w:firstLine="0"/>
        <w:jc w:val="both"/>
      </w:pPr>
      <w:r w:rsidRPr="001D7075">
        <w:t>AOP 177</w:t>
      </w:r>
      <w:r>
        <w:t xml:space="preserve"> Zakupnine i najamnine </w:t>
      </w:r>
      <w:r w:rsidR="00A8668F">
        <w:t xml:space="preserve">– </w:t>
      </w:r>
      <w:r w:rsidRPr="001D7075">
        <w:t>odnosi se na rashode za zakup uredskih prostorija, parkirnih mjesta i parkirnih karata</w:t>
      </w:r>
      <w:r>
        <w:t xml:space="preserve">, </w:t>
      </w:r>
      <w:r w:rsidRPr="001D7075">
        <w:t>najam vozila, uredske opreme i namještaja, prijenosnih i desktop računala, printera i licenci.</w:t>
      </w:r>
      <w:r w:rsidR="00DB2124">
        <w:t xml:space="preserve"> Tijekom izvještajnog razdoblja sa ove skupine konta plaćen je i računovodstveno evidentiran trošak </w:t>
      </w:r>
      <w:r w:rsidR="005E2804">
        <w:t xml:space="preserve">depozita – garantnog pologa </w:t>
      </w:r>
      <w:r w:rsidR="00DB2124">
        <w:t xml:space="preserve">za zakup poslovnog prostora. </w:t>
      </w:r>
      <w:r w:rsidR="005E2804">
        <w:t xml:space="preserve">Isti </w:t>
      </w:r>
      <w:r w:rsidR="00DB2124">
        <w:t>je vraćen prije isteka ugovora o zakupu, odnosno u prosincu 2021. godine.</w:t>
      </w:r>
    </w:p>
    <w:p w14:paraId="59FA4385" w14:textId="77777777" w:rsidR="00C13C6E" w:rsidRDefault="00C13C6E" w:rsidP="00073B89">
      <w:pPr>
        <w:rPr>
          <w:b/>
          <w:u w:val="single"/>
        </w:rPr>
      </w:pPr>
    </w:p>
    <w:p w14:paraId="1602F54F" w14:textId="2B16895B" w:rsidR="007F2E96" w:rsidRPr="005D7B41" w:rsidRDefault="009635B9" w:rsidP="007F2E96">
      <w:pPr>
        <w:numPr>
          <w:ilvl w:val="0"/>
          <w:numId w:val="10"/>
        </w:numPr>
        <w:ind w:left="0" w:firstLine="0"/>
        <w:jc w:val="both"/>
      </w:pPr>
      <w:r w:rsidRPr="005D7B41">
        <w:t xml:space="preserve">AOP 179 Intelektualne i osobne usluge </w:t>
      </w:r>
      <w:r w:rsidR="00A8668F" w:rsidRPr="005D7B41">
        <w:t xml:space="preserve">– </w:t>
      </w:r>
      <w:r w:rsidR="007F2E96">
        <w:t xml:space="preserve">odnose se na savjetodavne usluge u području javne nabave, transparentnosti rada, </w:t>
      </w:r>
      <w:r w:rsidR="007F2E96" w:rsidRPr="007F5430">
        <w:rPr>
          <w:szCs w:val="24"/>
        </w:rPr>
        <w:t>IT tehnologije</w:t>
      </w:r>
      <w:r w:rsidR="00E837EE">
        <w:rPr>
          <w:szCs w:val="24"/>
        </w:rPr>
        <w:t>,</w:t>
      </w:r>
      <w:r w:rsidR="007F2E96" w:rsidRPr="007F5430">
        <w:rPr>
          <w:szCs w:val="24"/>
        </w:rPr>
        <w:t xml:space="preserve"> odnosa s javnošću</w:t>
      </w:r>
      <w:r w:rsidR="007F2E96">
        <w:t xml:space="preserve">, </w:t>
      </w:r>
      <w:r w:rsidR="007F2E96" w:rsidRPr="007F5430">
        <w:rPr>
          <w:szCs w:val="24"/>
        </w:rPr>
        <w:t>usluge odvjetnika i pravnog savjetovanja</w:t>
      </w:r>
      <w:r w:rsidR="007F2E96">
        <w:rPr>
          <w:szCs w:val="24"/>
        </w:rPr>
        <w:t>,</w:t>
      </w:r>
      <w:r w:rsidRPr="005D7B41">
        <w:rPr>
          <w:szCs w:val="24"/>
        </w:rPr>
        <w:t xml:space="preserve"> ugovore o djelu i</w:t>
      </w:r>
      <w:r>
        <w:rPr>
          <w:szCs w:val="24"/>
        </w:rPr>
        <w:t xml:space="preserve"> ugovore o studentskim poslovima</w:t>
      </w:r>
      <w:r w:rsidRPr="007F5430">
        <w:rPr>
          <w:szCs w:val="24"/>
        </w:rPr>
        <w:t>,</w:t>
      </w:r>
      <w:r w:rsidR="007F2E96">
        <w:rPr>
          <w:szCs w:val="24"/>
        </w:rPr>
        <w:t xml:space="preserve"> usluge </w:t>
      </w:r>
      <w:r w:rsidRPr="005D7B41">
        <w:rPr>
          <w:szCs w:val="24"/>
        </w:rPr>
        <w:t>izrade troškovnika i stručnog savjetovanja za pripremu radova stambenog zbrinjavanja, ovlaštenih inženjera građevinarstva i arhitekture i sudskih vještaka</w:t>
      </w:r>
      <w:r w:rsidR="007F2E96">
        <w:rPr>
          <w:szCs w:val="24"/>
        </w:rPr>
        <w:t xml:space="preserve">. </w:t>
      </w:r>
      <w:r w:rsidR="00E837EE">
        <w:rPr>
          <w:szCs w:val="24"/>
        </w:rPr>
        <w:t xml:space="preserve">Predmetni rashodi ostvareni za potrebe </w:t>
      </w:r>
      <w:r w:rsidR="007F2E96">
        <w:rPr>
          <w:szCs w:val="24"/>
        </w:rPr>
        <w:t xml:space="preserve">poslovanja Fonda za obnovu </w:t>
      </w:r>
      <w:r w:rsidR="00E837EE">
        <w:rPr>
          <w:szCs w:val="24"/>
        </w:rPr>
        <w:t xml:space="preserve">iznose </w:t>
      </w:r>
      <w:r w:rsidR="007F2E96" w:rsidRPr="00872F20">
        <w:rPr>
          <w:szCs w:val="24"/>
        </w:rPr>
        <w:t>1.020.126</w:t>
      </w:r>
      <w:r w:rsidR="007F2E96">
        <w:rPr>
          <w:szCs w:val="24"/>
        </w:rPr>
        <w:t xml:space="preserve"> kn, a </w:t>
      </w:r>
      <w:r w:rsidR="00E837EE">
        <w:rPr>
          <w:szCs w:val="24"/>
        </w:rPr>
        <w:t xml:space="preserve">za potrebe aktivnosti </w:t>
      </w:r>
      <w:r w:rsidR="007F2E96">
        <w:rPr>
          <w:szCs w:val="24"/>
        </w:rPr>
        <w:t>obnov</w:t>
      </w:r>
      <w:r w:rsidR="00E837EE">
        <w:rPr>
          <w:szCs w:val="24"/>
        </w:rPr>
        <w:t xml:space="preserve">e </w:t>
      </w:r>
      <w:r w:rsidR="007F2E96" w:rsidRPr="00872F20">
        <w:rPr>
          <w:szCs w:val="24"/>
        </w:rPr>
        <w:t>200.983</w:t>
      </w:r>
      <w:r w:rsidR="007F2E96">
        <w:rPr>
          <w:szCs w:val="24"/>
        </w:rPr>
        <w:t xml:space="preserve"> kn.</w:t>
      </w:r>
    </w:p>
    <w:p w14:paraId="753FEBFA" w14:textId="77777777" w:rsidR="009635B9" w:rsidRDefault="009635B9" w:rsidP="009635B9">
      <w:pPr>
        <w:jc w:val="both"/>
      </w:pPr>
    </w:p>
    <w:p w14:paraId="46F26FE8" w14:textId="145FF43E" w:rsidR="009635B9" w:rsidRDefault="009635B9" w:rsidP="009635B9">
      <w:pPr>
        <w:numPr>
          <w:ilvl w:val="0"/>
          <w:numId w:val="10"/>
        </w:numPr>
        <w:ind w:left="0" w:firstLine="0"/>
        <w:jc w:val="both"/>
        <w:rPr>
          <w:szCs w:val="24"/>
        </w:rPr>
      </w:pPr>
      <w:r>
        <w:t>AOP 181 Ostale usluge</w:t>
      </w:r>
      <w:r w:rsidR="00A8668F">
        <w:t xml:space="preserve"> –</w:t>
      </w:r>
      <w:r>
        <w:t xml:space="preserve"> </w:t>
      </w:r>
      <w:r w:rsidRPr="00216979">
        <w:rPr>
          <w:szCs w:val="24"/>
        </w:rPr>
        <w:t>odnos</w:t>
      </w:r>
      <w:r w:rsidR="00A8668F">
        <w:rPr>
          <w:szCs w:val="24"/>
        </w:rPr>
        <w:t>e</w:t>
      </w:r>
      <w:r w:rsidRPr="00216979">
        <w:rPr>
          <w:szCs w:val="24"/>
        </w:rPr>
        <w:t xml:space="preserve"> se na rashode za usluge čišćenja uredskih prostorija, zaštitarske usluge</w:t>
      </w:r>
      <w:r>
        <w:rPr>
          <w:szCs w:val="24"/>
        </w:rPr>
        <w:t xml:space="preserve">, usluge izrade posjetnica, </w:t>
      </w:r>
      <w:r w:rsidRPr="00216979">
        <w:rPr>
          <w:szCs w:val="24"/>
        </w:rPr>
        <w:t xml:space="preserve">te usluge </w:t>
      </w:r>
      <w:r>
        <w:rPr>
          <w:szCs w:val="24"/>
        </w:rPr>
        <w:t xml:space="preserve">izdavanja, opoziva i korištenja </w:t>
      </w:r>
      <w:r w:rsidRPr="00216979">
        <w:rPr>
          <w:szCs w:val="24"/>
        </w:rPr>
        <w:t>FINA certifikata</w:t>
      </w:r>
      <w:r>
        <w:rPr>
          <w:szCs w:val="24"/>
        </w:rPr>
        <w:t xml:space="preserve"> za pristup e-servisima FINA-e, Centraliziranom obračunu plaća, sustavu e-Porezna, e-Zdravstveno i sl.</w:t>
      </w:r>
    </w:p>
    <w:p w14:paraId="5DBBEFC5" w14:textId="77777777" w:rsidR="009635B9" w:rsidRDefault="009635B9" w:rsidP="009635B9">
      <w:pPr>
        <w:jc w:val="both"/>
        <w:rPr>
          <w:szCs w:val="24"/>
        </w:rPr>
      </w:pPr>
    </w:p>
    <w:p w14:paraId="06125221" w14:textId="17F37D0C" w:rsidR="00A8668F" w:rsidRDefault="00A8668F" w:rsidP="00A8668F">
      <w:pPr>
        <w:numPr>
          <w:ilvl w:val="0"/>
          <w:numId w:val="10"/>
        </w:numPr>
        <w:ind w:left="0" w:firstLine="0"/>
        <w:jc w:val="both"/>
      </w:pPr>
      <w:r>
        <w:lastRenderedPageBreak/>
        <w:t xml:space="preserve">AOP 214 </w:t>
      </w:r>
      <w:r w:rsidRPr="00A8668F">
        <w:t>Subvencije trgovačkim društvima, zadrugama, poljoprivrednicima i obrtnicima izvan javnog sektora</w:t>
      </w:r>
      <w:r>
        <w:t xml:space="preserve"> – </w:t>
      </w:r>
      <w:r w:rsidR="008C33D9" w:rsidRPr="00A8668F">
        <w:t>o</w:t>
      </w:r>
      <w:r w:rsidR="008C33D9">
        <w:t>buhvaćaju</w:t>
      </w:r>
      <w:r>
        <w:t xml:space="preserve">: </w:t>
      </w:r>
    </w:p>
    <w:p w14:paraId="3F86A6BB" w14:textId="7B761018" w:rsidR="00A8668F" w:rsidRDefault="00A8668F" w:rsidP="00A8668F">
      <w:pPr>
        <w:numPr>
          <w:ilvl w:val="1"/>
          <w:numId w:val="10"/>
        </w:numPr>
        <w:jc w:val="both"/>
      </w:pPr>
      <w:r w:rsidRPr="00A8668F">
        <w:t xml:space="preserve">rashode za usluge u svrhu obnove </w:t>
      </w:r>
      <w:r w:rsidR="009148C2">
        <w:t>zgrade</w:t>
      </w:r>
      <w:r w:rsidRPr="00A8668F">
        <w:t xml:space="preserve"> u djelomičnom vlasništvu banke</w:t>
      </w:r>
      <w:r>
        <w:t xml:space="preserve"> u iznosu od 144 kn (AOP 215);</w:t>
      </w:r>
    </w:p>
    <w:p w14:paraId="2A10FCE2" w14:textId="3637F297" w:rsidR="00A8668F" w:rsidRDefault="00A8668F" w:rsidP="00A8668F">
      <w:pPr>
        <w:numPr>
          <w:ilvl w:val="1"/>
          <w:numId w:val="10"/>
        </w:numPr>
        <w:jc w:val="both"/>
      </w:pPr>
      <w:r w:rsidRPr="00A8668F">
        <w:rPr>
          <w:szCs w:val="24"/>
        </w:rPr>
        <w:t>rashode za usluge u svrhu obnove zgrada u vlasništvu ili djelomičnom vlasništvu trgovačkih društava izvan javnog sektora</w:t>
      </w:r>
      <w:r>
        <w:rPr>
          <w:szCs w:val="24"/>
        </w:rPr>
        <w:t xml:space="preserve"> u iznosu od 7.880 kn (AOP 216).</w:t>
      </w:r>
    </w:p>
    <w:p w14:paraId="68C23BB2" w14:textId="77777777" w:rsidR="00A8668F" w:rsidRDefault="00A8668F" w:rsidP="00A8668F">
      <w:pPr>
        <w:jc w:val="both"/>
      </w:pPr>
    </w:p>
    <w:p w14:paraId="3E6BFAC8" w14:textId="759ECACC" w:rsidR="00C13C6E" w:rsidRDefault="00A8668F" w:rsidP="00A8668F">
      <w:pPr>
        <w:numPr>
          <w:ilvl w:val="0"/>
          <w:numId w:val="10"/>
        </w:numPr>
        <w:ind w:left="0" w:firstLine="0"/>
        <w:jc w:val="both"/>
        <w:rPr>
          <w:szCs w:val="24"/>
        </w:rPr>
      </w:pPr>
      <w:r>
        <w:rPr>
          <w:szCs w:val="24"/>
        </w:rPr>
        <w:t xml:space="preserve">AOP 243 – Tekući prijenosi između proračunskih korisnika istog proračuna odnosi se na </w:t>
      </w:r>
      <w:r w:rsidRPr="00216979">
        <w:rPr>
          <w:szCs w:val="24"/>
        </w:rPr>
        <w:t>prijenos sredstava Pravnom fakultetu Sveučilišta u Zagrebu za pružanje specijalizirane pravne pomoći Pravne klinike temeljem Sporazuma o suradnji.</w:t>
      </w:r>
    </w:p>
    <w:p w14:paraId="7830821A" w14:textId="77777777" w:rsidR="00C13C6E" w:rsidRDefault="00C13C6E" w:rsidP="00C13C6E">
      <w:pPr>
        <w:spacing w:after="160"/>
        <w:rPr>
          <w:szCs w:val="24"/>
        </w:rPr>
      </w:pPr>
    </w:p>
    <w:p w14:paraId="5DD8D2EC" w14:textId="7B545C08" w:rsidR="00C13C6E" w:rsidRDefault="00A8668F" w:rsidP="00A8668F">
      <w:pPr>
        <w:numPr>
          <w:ilvl w:val="0"/>
          <w:numId w:val="10"/>
        </w:numPr>
        <w:ind w:left="0" w:firstLine="0"/>
        <w:jc w:val="both"/>
        <w:rPr>
          <w:rFonts w:eastAsia="Calibri"/>
          <w:szCs w:val="24"/>
        </w:rPr>
      </w:pPr>
      <w:r>
        <w:rPr>
          <w:rFonts w:eastAsia="Calibri"/>
          <w:szCs w:val="24"/>
        </w:rPr>
        <w:t xml:space="preserve">AOP 256 </w:t>
      </w:r>
      <w:r w:rsidRPr="00A8668F">
        <w:rPr>
          <w:rFonts w:eastAsia="Calibri"/>
          <w:szCs w:val="24"/>
        </w:rPr>
        <w:t>Naknade građanima i kućanstvima u naravi</w:t>
      </w:r>
      <w:r>
        <w:rPr>
          <w:rFonts w:eastAsia="Calibri"/>
          <w:szCs w:val="24"/>
        </w:rPr>
        <w:t xml:space="preserve"> – obuhvaća </w:t>
      </w:r>
      <w:r w:rsidRPr="00216979">
        <w:rPr>
          <w:szCs w:val="24"/>
        </w:rPr>
        <w:t xml:space="preserve">rashode </w:t>
      </w:r>
      <w:r w:rsidR="00CF332C">
        <w:rPr>
          <w:szCs w:val="24"/>
        </w:rPr>
        <w:t xml:space="preserve">za usluge </w:t>
      </w:r>
      <w:r w:rsidRPr="00216979">
        <w:rPr>
          <w:szCs w:val="24"/>
        </w:rPr>
        <w:t>tehničko-financijske kontrole projekata</w:t>
      </w:r>
      <w:r>
        <w:rPr>
          <w:szCs w:val="24"/>
        </w:rPr>
        <w:t xml:space="preserve">, izrade projektne dokumentacije, usluge operativnog koordinatora, stručnog nadzora, izrade elaborata zatečenog stanja, usluge izrade izvješća, nalaza i mišljenja ovlaštenih inženjera građevine i sudskih vještaka i sl., a </w:t>
      </w:r>
      <w:r w:rsidRPr="00216979">
        <w:rPr>
          <w:szCs w:val="24"/>
        </w:rPr>
        <w:t>u svrhu obnove nekretnina koje su u vlasništvu odnosno suvlasništvu fizičkih osoba.</w:t>
      </w:r>
    </w:p>
    <w:p w14:paraId="53DBA5B2" w14:textId="77777777" w:rsidR="00C13C6E" w:rsidRDefault="00C13C6E" w:rsidP="00C13C6E">
      <w:pPr>
        <w:jc w:val="both"/>
        <w:rPr>
          <w:rFonts w:eastAsia="Calibri"/>
          <w:szCs w:val="24"/>
        </w:rPr>
      </w:pPr>
    </w:p>
    <w:p w14:paraId="392563A5" w14:textId="6F2B950A" w:rsidR="00CF332C" w:rsidRDefault="00CF332C" w:rsidP="00CF332C">
      <w:pPr>
        <w:numPr>
          <w:ilvl w:val="0"/>
          <w:numId w:val="10"/>
        </w:numPr>
        <w:ind w:left="0" w:firstLine="0"/>
        <w:jc w:val="both"/>
        <w:rPr>
          <w:szCs w:val="24"/>
        </w:rPr>
      </w:pPr>
      <w:r w:rsidRPr="00CF332C">
        <w:rPr>
          <w:szCs w:val="24"/>
        </w:rPr>
        <w:t xml:space="preserve">AOP 269 Naknade šteta pravnim </w:t>
      </w:r>
      <w:r>
        <w:rPr>
          <w:szCs w:val="24"/>
        </w:rPr>
        <w:t xml:space="preserve">i fizičkim osobama – obuhvaća </w:t>
      </w:r>
      <w:r w:rsidRPr="00CF332C">
        <w:rPr>
          <w:szCs w:val="24"/>
        </w:rPr>
        <w:t>isplate novčanih pomoć</w:t>
      </w:r>
      <w:r>
        <w:rPr>
          <w:szCs w:val="24"/>
        </w:rPr>
        <w:t xml:space="preserve">i temeljem Odluke o osiguranju </w:t>
      </w:r>
      <w:r w:rsidRPr="00CF332C">
        <w:rPr>
          <w:szCs w:val="24"/>
        </w:rPr>
        <w:t>novčane pomoći za privremenu i nužnu zaštitu i popravak zgrada oštećenih</w:t>
      </w:r>
      <w:r>
        <w:t xml:space="preserve"> </w:t>
      </w:r>
      <w:r w:rsidRPr="00CF332C">
        <w:rPr>
          <w:szCs w:val="24"/>
        </w:rPr>
        <w:t>potresom na području Grada Zagreba i okolice („Narodne novine“, broj 55/20) i Odluke o osiguranju novčane pomoći za privremenu i nužnu zaštitu i popravak zgrada oštećenih potresom na području Grada Zagreba, Krapinsko-zagorske županije, Zagrebačke županije, Sisačko-moslavačke županije i Karlovačke županije („Narodne novine“, broj 34/21)</w:t>
      </w:r>
      <w:r>
        <w:rPr>
          <w:szCs w:val="24"/>
        </w:rPr>
        <w:t xml:space="preserve"> i</w:t>
      </w:r>
      <w:r w:rsidRPr="00CF332C">
        <w:rPr>
          <w:szCs w:val="24"/>
        </w:rPr>
        <w:t xml:space="preserve"> sukladno Zakonu o obnovi zgrada oštećenih potresom na području Grada Zagreba, Krapinsko-zagorske županije, Zagrebačke županije, Sisačko-moslavačke županije i Karlovačke županije („Narodne novine“, broj 102/20, 10/21 i 117/21).</w:t>
      </w:r>
    </w:p>
    <w:p w14:paraId="6E5B8DB9" w14:textId="77777777" w:rsidR="009148C2" w:rsidRDefault="009148C2" w:rsidP="009148C2">
      <w:pPr>
        <w:jc w:val="both"/>
        <w:rPr>
          <w:szCs w:val="24"/>
        </w:rPr>
      </w:pPr>
    </w:p>
    <w:p w14:paraId="4DC45D50" w14:textId="631A957E" w:rsidR="002E732B" w:rsidRDefault="002E732B" w:rsidP="002E732B">
      <w:pPr>
        <w:numPr>
          <w:ilvl w:val="0"/>
          <w:numId w:val="10"/>
        </w:numPr>
        <w:ind w:left="0" w:firstLine="0"/>
        <w:jc w:val="both"/>
        <w:rPr>
          <w:szCs w:val="24"/>
        </w:rPr>
      </w:pPr>
      <w:r>
        <w:rPr>
          <w:szCs w:val="24"/>
        </w:rPr>
        <w:t xml:space="preserve">AOP 287 Višak poslovanja – preneseni – prihod od donacija uplaćen u državni proračun </w:t>
      </w:r>
      <w:r w:rsidR="009148C2">
        <w:rPr>
          <w:szCs w:val="24"/>
        </w:rPr>
        <w:t xml:space="preserve">u </w:t>
      </w:r>
      <w:r>
        <w:rPr>
          <w:szCs w:val="24"/>
        </w:rPr>
        <w:t>2020. godin</w:t>
      </w:r>
      <w:r w:rsidR="009148C2">
        <w:rPr>
          <w:szCs w:val="24"/>
        </w:rPr>
        <w:t>i</w:t>
      </w:r>
      <w:r>
        <w:rPr>
          <w:szCs w:val="24"/>
        </w:rPr>
        <w:t xml:space="preserve"> i koji je dodijeljen Fondu za obnovu </w:t>
      </w:r>
      <w:r w:rsidR="009419EB">
        <w:rPr>
          <w:szCs w:val="24"/>
        </w:rPr>
        <w:t xml:space="preserve">u 2021. godini </w:t>
      </w:r>
      <w:r>
        <w:rPr>
          <w:szCs w:val="24"/>
        </w:rPr>
        <w:t>u svrhu isplate novčanih pomoći (AOP 269).</w:t>
      </w:r>
      <w:r w:rsidR="009419EB">
        <w:rPr>
          <w:szCs w:val="24"/>
        </w:rPr>
        <w:t xml:space="preserve"> Računovodstveno </w:t>
      </w:r>
      <w:r w:rsidR="009148C2">
        <w:rPr>
          <w:szCs w:val="24"/>
        </w:rPr>
        <w:t>je</w:t>
      </w:r>
      <w:r w:rsidR="009419EB">
        <w:rPr>
          <w:szCs w:val="24"/>
        </w:rPr>
        <w:t xml:space="preserve"> evidentira</w:t>
      </w:r>
      <w:r w:rsidR="009148C2">
        <w:rPr>
          <w:szCs w:val="24"/>
        </w:rPr>
        <w:t>n</w:t>
      </w:r>
      <w:r w:rsidR="009419EB">
        <w:rPr>
          <w:szCs w:val="24"/>
        </w:rPr>
        <w:t xml:space="preserve"> na kontu 92211 Višak prihoda poslovanja.</w:t>
      </w:r>
    </w:p>
    <w:p w14:paraId="1E37A8AD" w14:textId="77777777" w:rsidR="009148C2" w:rsidRDefault="009148C2" w:rsidP="002659D2">
      <w:pPr>
        <w:jc w:val="both"/>
        <w:rPr>
          <w:szCs w:val="24"/>
        </w:rPr>
      </w:pPr>
    </w:p>
    <w:p w14:paraId="79DC2A34" w14:textId="77777777" w:rsidR="00BE74A2" w:rsidRDefault="00BE74A2" w:rsidP="002659D2">
      <w:pPr>
        <w:spacing w:after="40"/>
        <w:rPr>
          <w:szCs w:val="24"/>
        </w:rPr>
      </w:pPr>
    </w:p>
    <w:p w14:paraId="1842D096" w14:textId="77777777" w:rsidR="00BE74A2" w:rsidRPr="00E829B2" w:rsidRDefault="00BE74A2" w:rsidP="00BE74A2">
      <w:pPr>
        <w:jc w:val="both"/>
        <w:rPr>
          <w:u w:val="single"/>
        </w:rPr>
      </w:pPr>
      <w:r w:rsidRPr="00E829B2">
        <w:rPr>
          <w:u w:val="single"/>
        </w:rPr>
        <w:t>BILJEŠKE UZ IZVJEŠTAJ O OBVEZAMA</w:t>
      </w:r>
    </w:p>
    <w:p w14:paraId="0E4C1809" w14:textId="77777777" w:rsidR="00BE74A2" w:rsidRDefault="00BE74A2" w:rsidP="002659D2">
      <w:pPr>
        <w:spacing w:after="40"/>
        <w:rPr>
          <w:bCs/>
        </w:rPr>
      </w:pPr>
    </w:p>
    <w:p w14:paraId="38E0F975" w14:textId="77777777" w:rsidR="00B36B99" w:rsidRPr="00E829B2" w:rsidRDefault="00B36B99" w:rsidP="002659D2">
      <w:pPr>
        <w:spacing w:after="40"/>
        <w:rPr>
          <w:bCs/>
        </w:rPr>
      </w:pPr>
    </w:p>
    <w:p w14:paraId="2577B0F3" w14:textId="31420B03" w:rsidR="00683E23" w:rsidRPr="00DC493E" w:rsidRDefault="00683E23" w:rsidP="008C33D9">
      <w:pPr>
        <w:jc w:val="both"/>
        <w:rPr>
          <w:bCs/>
        </w:rPr>
      </w:pPr>
      <w:r w:rsidRPr="00E829B2">
        <w:t>AOP 097 – Stanje nedospjelih obveza na kraju izvještajnog razdoblja</w:t>
      </w:r>
      <w:r w:rsidR="00DC493E">
        <w:t xml:space="preserve"> – sve nedospjele obveze podmirene su u siječnju 2022. godine. </w:t>
      </w:r>
    </w:p>
    <w:p w14:paraId="7BCC1C23" w14:textId="57EBF842" w:rsidR="00683E23" w:rsidRDefault="00683E23" w:rsidP="002659D2">
      <w:pPr>
        <w:spacing w:after="40"/>
        <w:rPr>
          <w:bCs/>
        </w:rPr>
      </w:pPr>
    </w:p>
    <w:p w14:paraId="129FF151" w14:textId="77777777" w:rsidR="008C33D9" w:rsidRDefault="008C33D9" w:rsidP="002659D2">
      <w:pPr>
        <w:spacing w:after="40"/>
        <w:rPr>
          <w:bCs/>
        </w:rPr>
      </w:pPr>
    </w:p>
    <w:p w14:paraId="002DB0E0" w14:textId="77777777" w:rsidR="00B36B99" w:rsidRDefault="00B36B99" w:rsidP="002659D2">
      <w:pPr>
        <w:spacing w:after="40"/>
        <w:rPr>
          <w:bCs/>
        </w:rPr>
      </w:pPr>
    </w:p>
    <w:p w14:paraId="31216255" w14:textId="77777777" w:rsidR="002659D2" w:rsidRPr="00261FEE" w:rsidRDefault="002659D2" w:rsidP="002659D2">
      <w:pPr>
        <w:spacing w:after="40"/>
        <w:rPr>
          <w:bCs/>
          <w:u w:val="single"/>
        </w:rPr>
      </w:pPr>
      <w:r w:rsidRPr="00261FEE">
        <w:rPr>
          <w:bCs/>
          <w:u w:val="single"/>
        </w:rPr>
        <w:t>BILJEŠKE UZ IZVJEŠTAJ O PROMJENAMA U VRIJEDNOSTI I OBUJMU IMOVINE I OBVEZA</w:t>
      </w:r>
    </w:p>
    <w:p w14:paraId="68C62613" w14:textId="77777777" w:rsidR="002659D2" w:rsidRPr="002659D2" w:rsidRDefault="002659D2" w:rsidP="002659D2">
      <w:pPr>
        <w:spacing w:after="40"/>
        <w:rPr>
          <w:bCs/>
        </w:rPr>
      </w:pPr>
    </w:p>
    <w:p w14:paraId="1385B6E0" w14:textId="573A706D" w:rsidR="00933D5A" w:rsidRDefault="002659D2" w:rsidP="002659D2">
      <w:pPr>
        <w:spacing w:after="40"/>
        <w:rPr>
          <w:bCs/>
        </w:rPr>
      </w:pPr>
      <w:r>
        <w:rPr>
          <w:bCs/>
        </w:rPr>
        <w:t>U izvještajnom razdoblju nije bilo p</w:t>
      </w:r>
      <w:r w:rsidRPr="002659D2">
        <w:rPr>
          <w:bCs/>
        </w:rPr>
        <w:t>romjen</w:t>
      </w:r>
      <w:r>
        <w:rPr>
          <w:bCs/>
        </w:rPr>
        <w:t xml:space="preserve">a </w:t>
      </w:r>
      <w:r w:rsidRPr="002659D2">
        <w:rPr>
          <w:bCs/>
        </w:rPr>
        <w:t xml:space="preserve">u </w:t>
      </w:r>
      <w:r>
        <w:rPr>
          <w:bCs/>
        </w:rPr>
        <w:t>vrijednosti i obujmu imovine i obveza.</w:t>
      </w:r>
    </w:p>
    <w:p w14:paraId="6586D19C" w14:textId="77777777" w:rsidR="00261FEE" w:rsidRDefault="00261FEE" w:rsidP="002659D2">
      <w:pPr>
        <w:spacing w:after="40"/>
        <w:rPr>
          <w:bCs/>
        </w:rPr>
      </w:pPr>
    </w:p>
    <w:p w14:paraId="00242ABD" w14:textId="77777777" w:rsidR="00261FEE" w:rsidRDefault="00261FEE" w:rsidP="002659D2">
      <w:pPr>
        <w:spacing w:after="40"/>
        <w:rPr>
          <w:bCs/>
        </w:rPr>
      </w:pPr>
    </w:p>
    <w:p w14:paraId="091CB2C7" w14:textId="77777777" w:rsidR="00B36B99" w:rsidRDefault="00B36B99" w:rsidP="002659D2">
      <w:pPr>
        <w:spacing w:after="40"/>
        <w:rPr>
          <w:bCs/>
        </w:rPr>
      </w:pPr>
    </w:p>
    <w:p w14:paraId="6C5280FF" w14:textId="77777777" w:rsidR="00B36B99" w:rsidRDefault="00B36B99" w:rsidP="002659D2">
      <w:pPr>
        <w:spacing w:after="40"/>
        <w:rPr>
          <w:bCs/>
        </w:rPr>
      </w:pPr>
    </w:p>
    <w:p w14:paraId="4E4541C0" w14:textId="77777777" w:rsidR="00261FEE" w:rsidRPr="00261FEE" w:rsidRDefault="00261FEE" w:rsidP="00261FEE">
      <w:pPr>
        <w:jc w:val="both"/>
        <w:rPr>
          <w:u w:val="single"/>
        </w:rPr>
      </w:pPr>
      <w:r w:rsidRPr="00261FEE">
        <w:rPr>
          <w:u w:val="single"/>
        </w:rPr>
        <w:lastRenderedPageBreak/>
        <w:t>BILJEŠKE UZ IZVJEŠTAJ O RASHODIMA PREMA FUNKCIJSKOJ KLASIFIKACIJI</w:t>
      </w:r>
    </w:p>
    <w:p w14:paraId="51F853E4" w14:textId="77777777" w:rsidR="00261FEE" w:rsidRPr="00F970E3" w:rsidRDefault="00261FEE" w:rsidP="00261FEE">
      <w:pPr>
        <w:jc w:val="both"/>
        <w:rPr>
          <w:u w:val="single"/>
        </w:rPr>
      </w:pPr>
    </w:p>
    <w:p w14:paraId="290F88D9" w14:textId="77777777" w:rsidR="008C33D9" w:rsidRDefault="008C33D9" w:rsidP="008E0E27">
      <w:pPr>
        <w:spacing w:after="40"/>
        <w:jc w:val="both"/>
      </w:pPr>
    </w:p>
    <w:p w14:paraId="0EA2328D" w14:textId="1CF97523" w:rsidR="00261FEE" w:rsidRDefault="00261FEE" w:rsidP="008E0E27">
      <w:pPr>
        <w:spacing w:after="40"/>
        <w:jc w:val="both"/>
      </w:pPr>
      <w:r>
        <w:t>AOP 0</w:t>
      </w:r>
      <w:r w:rsidRPr="00F970E3">
        <w:t>4</w:t>
      </w:r>
      <w:r>
        <w:t>9</w:t>
      </w:r>
      <w:r w:rsidRPr="00F970E3">
        <w:t xml:space="preserve"> </w:t>
      </w:r>
      <w:r>
        <w:t xml:space="preserve">Građevinarstvo </w:t>
      </w:r>
      <w:r w:rsidRPr="00F970E3">
        <w:t xml:space="preserve">– </w:t>
      </w:r>
      <w:r w:rsidR="008E0E27" w:rsidRPr="008E0E27">
        <w:t>ukupni rashodi poslovanja i rashodi za nabavu nefinancijske imovine iznose 63.168.314</w:t>
      </w:r>
      <w:r w:rsidR="008E0E27">
        <w:t xml:space="preserve"> kn</w:t>
      </w:r>
      <w:r w:rsidR="008E0E27" w:rsidRPr="008E0E27">
        <w:t xml:space="preserve">, a </w:t>
      </w:r>
      <w:r w:rsidR="00142757">
        <w:t xml:space="preserve">iskazani </w:t>
      </w:r>
      <w:r w:rsidR="008E0E27" w:rsidRPr="008E0E27">
        <w:t>su u funkcijskoj klasifikaciji 04</w:t>
      </w:r>
      <w:r w:rsidR="008E0E27">
        <w:t>43</w:t>
      </w:r>
      <w:r w:rsidR="008E0E27" w:rsidRPr="008E0E27">
        <w:t xml:space="preserve"> –</w:t>
      </w:r>
      <w:r w:rsidR="008E0E27">
        <w:t xml:space="preserve"> Građevinarstvo.</w:t>
      </w:r>
      <w:r w:rsidR="008E0E27" w:rsidRPr="008E0E27">
        <w:t xml:space="preserve"> </w:t>
      </w:r>
    </w:p>
    <w:p w14:paraId="74FBE1B6" w14:textId="77777777" w:rsidR="00142757" w:rsidRDefault="00142757" w:rsidP="008E0E27">
      <w:pPr>
        <w:spacing w:after="40"/>
        <w:jc w:val="both"/>
      </w:pPr>
    </w:p>
    <w:p w14:paraId="7E0EF4B4" w14:textId="77777777" w:rsidR="00142757" w:rsidRDefault="00142757" w:rsidP="008E0E27">
      <w:pPr>
        <w:spacing w:after="40"/>
        <w:jc w:val="both"/>
      </w:pPr>
    </w:p>
    <w:p w14:paraId="1ECEABAF" w14:textId="39EE5F95" w:rsidR="00142757" w:rsidRDefault="00142757" w:rsidP="008E0E27">
      <w:pPr>
        <w:spacing w:after="40"/>
        <w:jc w:val="both"/>
      </w:pPr>
      <w:r>
        <w:t>Zagreb, 31. siječnja 2022. godine</w:t>
      </w:r>
    </w:p>
    <w:p w14:paraId="18882489" w14:textId="77777777" w:rsidR="00142757" w:rsidRDefault="00142757" w:rsidP="008E0E27">
      <w:pPr>
        <w:spacing w:after="40"/>
        <w:jc w:val="both"/>
      </w:pPr>
    </w:p>
    <w:p w14:paraId="08D5995F" w14:textId="1F10E23E" w:rsidR="00142757" w:rsidRDefault="00142757" w:rsidP="008E0E27">
      <w:pPr>
        <w:spacing w:after="40"/>
        <w:jc w:val="both"/>
      </w:pPr>
      <w:r w:rsidRPr="00142757">
        <w:rPr>
          <w:bCs/>
          <w:noProof/>
          <w:lang w:eastAsia="hr-HR"/>
        </w:rPr>
        <mc:AlternateContent>
          <mc:Choice Requires="wps">
            <w:drawing>
              <wp:anchor distT="0" distB="0" distL="114300" distR="114300" simplePos="0" relativeHeight="251658240" behindDoc="0" locked="0" layoutInCell="1" allowOverlap="1" wp14:anchorId="534859F4" wp14:editId="3168EC30">
                <wp:simplePos x="0" y="0"/>
                <wp:positionH relativeFrom="column">
                  <wp:posOffset>3717290</wp:posOffset>
                </wp:positionH>
                <wp:positionV relativeFrom="paragraph">
                  <wp:posOffset>158115</wp:posOffset>
                </wp:positionV>
                <wp:extent cx="2374265"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87F7F50" w14:textId="44DB08BB" w:rsidR="00142757" w:rsidRDefault="00142757" w:rsidP="00142757">
                            <w:pPr>
                              <w:jc w:val="center"/>
                            </w:pPr>
                            <w:r>
                              <w:t>v.d. Ravnatelja</w:t>
                            </w:r>
                          </w:p>
                          <w:p w14:paraId="66B83BCD" w14:textId="77777777" w:rsidR="00142757" w:rsidRDefault="00142757" w:rsidP="00142757">
                            <w:pPr>
                              <w:jc w:val="center"/>
                            </w:pPr>
                          </w:p>
                          <w:p w14:paraId="21EABEEF" w14:textId="77777777" w:rsidR="00142757" w:rsidRDefault="00142757" w:rsidP="00142757">
                            <w:pPr>
                              <w:jc w:val="center"/>
                            </w:pPr>
                          </w:p>
                          <w:p w14:paraId="45AB97DD" w14:textId="62EDC63C" w:rsidR="00142757" w:rsidRDefault="00142757" w:rsidP="00142757">
                            <w:pPr>
                              <w:jc w:val="center"/>
                            </w:pPr>
                            <w:r>
                              <w:t>Snežana Penović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4859F4" id="_x0000_t202" coordsize="21600,21600" o:spt="202" path="m,l,21600r21600,l21600,xe">
                <v:stroke joinstyle="miter"/>
                <v:path gradientshapeok="t" o:connecttype="rect"/>
              </v:shapetype>
              <v:shape id="Text Box 2" o:spid="_x0000_s1026" type="#_x0000_t202" style="position:absolute;left:0;text-align:left;margin-left:292.7pt;margin-top:12.4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Q0ZFKOEAAAAKAQAADwAAAGRycy9kb3ducmV2LnhtbEyPTU/DMAyG70j8h8hIXBBLV9ZpLU2n&#10;8bELt40icfQary00TtVkW9mvJzvB0faj18+bL0fTiSMNrrWsYDqJQBBXVrdcKyjf1/cLEM4ja+ws&#10;k4IfcrAsrq9yzLQ98YaOW1+LEMIuQwWN930mpasaMugmticOt70dDPowDrXUA55CuOlkHEVzabDl&#10;8KHBnp4bqr63B6Pg/FS+rF7v/HQf+8/4Y2PeyuoLlbq9GVePIDyN/g+Gi35QhyI47eyBtROdgmSR&#10;zAKqIJ6lIAKQJukDiN1lMY9AFrn8X6H4BQAA//8DAFBLAQItABQABgAIAAAAIQC2gziS/gAAAOEB&#10;AAATAAAAAAAAAAAAAAAAAAAAAABbQ29udGVudF9UeXBlc10ueG1sUEsBAi0AFAAGAAgAAAAhADj9&#10;If/WAAAAlAEAAAsAAAAAAAAAAAAAAAAALwEAAF9yZWxzLy5yZWxzUEsBAi0AFAAGAAgAAAAhALMb&#10;IigPAgAA9wMAAA4AAAAAAAAAAAAAAAAALgIAAGRycy9lMm9Eb2MueG1sUEsBAi0AFAAGAAgAAAAh&#10;AENGRSjhAAAACgEAAA8AAAAAAAAAAAAAAAAAaQQAAGRycy9kb3ducmV2LnhtbFBLBQYAAAAABAAE&#10;APMAAAB3BQAAAAA=&#10;" stroked="f">
                <v:textbox style="mso-fit-shape-to-text:t">
                  <w:txbxContent>
                    <w:p w14:paraId="087F7F50" w14:textId="44DB08BB" w:rsidR="00142757" w:rsidRDefault="00142757" w:rsidP="00142757">
                      <w:pPr>
                        <w:jc w:val="center"/>
                      </w:pPr>
                      <w:r>
                        <w:t>v.d. Ravnatelja</w:t>
                      </w:r>
                    </w:p>
                    <w:p w14:paraId="66B83BCD" w14:textId="77777777" w:rsidR="00142757" w:rsidRDefault="00142757" w:rsidP="00142757">
                      <w:pPr>
                        <w:jc w:val="center"/>
                      </w:pPr>
                    </w:p>
                    <w:p w14:paraId="21EABEEF" w14:textId="77777777" w:rsidR="00142757" w:rsidRDefault="00142757" w:rsidP="00142757">
                      <w:pPr>
                        <w:jc w:val="center"/>
                      </w:pPr>
                    </w:p>
                    <w:p w14:paraId="45AB97DD" w14:textId="62EDC63C" w:rsidR="00142757" w:rsidRDefault="00142757" w:rsidP="00142757">
                      <w:pPr>
                        <w:jc w:val="center"/>
                      </w:pPr>
                      <w:r>
                        <w:t>Snežana Penović</w:t>
                      </w:r>
                    </w:p>
                  </w:txbxContent>
                </v:textbox>
              </v:shape>
            </w:pict>
          </mc:Fallback>
        </mc:AlternateContent>
      </w:r>
    </w:p>
    <w:p w14:paraId="05697482" w14:textId="10F84237" w:rsidR="00142757" w:rsidRPr="008E0E27" w:rsidRDefault="00142757" w:rsidP="008E0E27">
      <w:pPr>
        <w:spacing w:after="40"/>
        <w:jc w:val="both"/>
        <w:rPr>
          <w:bCs/>
        </w:rPr>
      </w:pPr>
    </w:p>
    <w:sectPr w:rsidR="00142757" w:rsidRPr="008E0E27" w:rsidSect="0002284D">
      <w:footerReference w:type="default" r:id="rId11"/>
      <w:headerReference w:type="first" r:id="rId12"/>
      <w:pgSz w:w="11906" w:h="16838" w:code="9"/>
      <w:pgMar w:top="1276"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B032" w14:textId="77777777" w:rsidR="00E34AC6" w:rsidRDefault="00E34AC6" w:rsidP="006C7844">
      <w:r>
        <w:separator/>
      </w:r>
    </w:p>
  </w:endnote>
  <w:endnote w:type="continuationSeparator" w:id="0">
    <w:p w14:paraId="57E72D6D" w14:textId="77777777" w:rsidR="00E34AC6" w:rsidRDefault="00E34AC6" w:rsidP="006C7844">
      <w:r>
        <w:continuationSeparator/>
      </w:r>
    </w:p>
  </w:endnote>
  <w:endnote w:type="continuationNotice" w:id="1">
    <w:p w14:paraId="11697474" w14:textId="77777777" w:rsidR="00E34AC6" w:rsidRDefault="00E34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47590"/>
      <w:docPartObj>
        <w:docPartGallery w:val="Page Numbers (Bottom of Page)"/>
        <w:docPartUnique/>
      </w:docPartObj>
    </w:sdtPr>
    <w:sdtEndPr/>
    <w:sdtContent>
      <w:p w14:paraId="28652E0C" w14:textId="582165D2" w:rsidR="00C40071" w:rsidRDefault="00C40071">
        <w:pPr>
          <w:pStyle w:val="Footer"/>
          <w:jc w:val="right"/>
        </w:pPr>
        <w:r>
          <w:fldChar w:fldCharType="begin"/>
        </w:r>
        <w:r>
          <w:instrText>PAGE   \* MERGEFORMAT</w:instrText>
        </w:r>
        <w:r>
          <w:fldChar w:fldCharType="separate"/>
        </w:r>
        <w:r>
          <w:t>2</w:t>
        </w:r>
        <w:r>
          <w:fldChar w:fldCharType="end"/>
        </w:r>
      </w:p>
    </w:sdtContent>
  </w:sdt>
  <w:p w14:paraId="6832FAC9" w14:textId="77777777" w:rsidR="00C40071" w:rsidRDefault="00C40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CD44" w14:textId="77777777" w:rsidR="00E34AC6" w:rsidRDefault="00E34AC6" w:rsidP="006C7844">
      <w:r>
        <w:separator/>
      </w:r>
    </w:p>
  </w:footnote>
  <w:footnote w:type="continuationSeparator" w:id="0">
    <w:p w14:paraId="0465C4FD" w14:textId="77777777" w:rsidR="00E34AC6" w:rsidRDefault="00E34AC6" w:rsidP="006C7844">
      <w:r>
        <w:continuationSeparator/>
      </w:r>
    </w:p>
  </w:footnote>
  <w:footnote w:type="continuationNotice" w:id="1">
    <w:p w14:paraId="50D4FB3B" w14:textId="77777777" w:rsidR="00E34AC6" w:rsidRDefault="00E34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96B" w14:textId="77777777" w:rsidR="003120F5" w:rsidRDefault="003120F5" w:rsidP="006C7844">
    <w:pPr>
      <w:pStyle w:val="Header"/>
      <w:pBdr>
        <w:bottom w:val="single" w:sz="4" w:space="1" w:color="auto"/>
      </w:pBdr>
      <w:jc w:val="center"/>
      <w:rPr>
        <w:sz w:val="20"/>
        <w:szCs w:val="20"/>
      </w:rPr>
    </w:pPr>
    <w:bookmarkStart w:id="0" w:name="_Hlk55811541"/>
    <w:r>
      <w:rPr>
        <w:noProof/>
        <w:sz w:val="20"/>
        <w:szCs w:val="20"/>
        <w:lang w:eastAsia="hr-HR"/>
      </w:rPr>
      <w:drawing>
        <wp:inline distT="0" distB="0" distL="0" distR="0" wp14:anchorId="50ADFC6A" wp14:editId="3DB94A12">
          <wp:extent cx="1159934" cy="838140"/>
          <wp:effectExtent l="0" t="0" r="0" b="0"/>
          <wp:docPr id="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47" cy="874567"/>
                  </a:xfrm>
                  <a:prstGeom prst="rect">
                    <a:avLst/>
                  </a:prstGeom>
                  <a:noFill/>
                </pic:spPr>
              </pic:pic>
            </a:graphicData>
          </a:graphic>
        </wp:inline>
      </w:drawing>
    </w:r>
  </w:p>
  <w:p w14:paraId="1857B2F2" w14:textId="77777777" w:rsidR="006F17BF" w:rsidRPr="006F17BF" w:rsidRDefault="006C7844" w:rsidP="006C7844">
    <w:pPr>
      <w:pStyle w:val="Header"/>
      <w:pBdr>
        <w:bottom w:val="single" w:sz="4" w:space="1" w:color="auto"/>
      </w:pBdr>
      <w:jc w:val="center"/>
      <w:rPr>
        <w:sz w:val="20"/>
        <w:szCs w:val="20"/>
      </w:rPr>
    </w:pPr>
    <w:r w:rsidRPr="006F17BF">
      <w:rPr>
        <w:sz w:val="20"/>
        <w:szCs w:val="20"/>
      </w:rPr>
      <w:t>FOND ZA OBNOVU GRADA ZAGREBA, KRAPINSKO-ZAGORSKE ŽUPANIJE</w:t>
    </w:r>
  </w:p>
  <w:p w14:paraId="7778B82A" w14:textId="77777777" w:rsidR="006C7844" w:rsidRPr="006F17BF" w:rsidRDefault="006C7844" w:rsidP="006C7844">
    <w:pPr>
      <w:pStyle w:val="Header"/>
      <w:pBdr>
        <w:bottom w:val="single" w:sz="4" w:space="1" w:color="auto"/>
      </w:pBdr>
      <w:jc w:val="center"/>
      <w:rPr>
        <w:sz w:val="20"/>
        <w:szCs w:val="20"/>
      </w:rPr>
    </w:pPr>
    <w:r w:rsidRPr="006F17BF">
      <w:rPr>
        <w:sz w:val="20"/>
        <w:szCs w:val="20"/>
      </w:rPr>
      <w:t>I ZAGREBAČKE ŽUPANIJE</w:t>
    </w:r>
  </w:p>
  <w:p w14:paraId="6D3E23AF" w14:textId="67C13C72" w:rsidR="006C7844" w:rsidRPr="006F17BF" w:rsidRDefault="006C7844" w:rsidP="006C7844">
    <w:pPr>
      <w:pStyle w:val="Header"/>
      <w:jc w:val="center"/>
      <w:rPr>
        <w:i/>
        <w:iCs/>
        <w:sz w:val="20"/>
        <w:szCs w:val="20"/>
      </w:rPr>
    </w:pPr>
    <w:r w:rsidRPr="006F17BF">
      <w:rPr>
        <w:i/>
        <w:iCs/>
        <w:sz w:val="20"/>
        <w:szCs w:val="20"/>
      </w:rPr>
      <w:t>10 000 Zagreb, Ulica Ivana Dežmana 10, MBS: 081338631, OIB: 20506058112, Tel: 01/6448</w:t>
    </w:r>
    <w:r w:rsidR="003C6368">
      <w:rPr>
        <w:i/>
        <w:iCs/>
        <w:sz w:val="20"/>
        <w:szCs w:val="20"/>
      </w:rPr>
      <w:t>890</w:t>
    </w:r>
  </w:p>
  <w:bookmarkEnd w:id="0"/>
  <w:p w14:paraId="03EBD74E" w14:textId="156CB2BF" w:rsidR="006C7844" w:rsidRPr="00C8765D" w:rsidRDefault="007D2C4F" w:rsidP="007D2C4F">
    <w:pPr>
      <w:pStyle w:val="Header"/>
      <w:jc w:val="center"/>
      <w:rPr>
        <w:i/>
        <w:iCs/>
        <w:sz w:val="20"/>
        <w:szCs w:val="20"/>
      </w:rPr>
    </w:pPr>
    <w:r w:rsidRPr="007D2C4F">
      <w:rPr>
        <w:i/>
        <w:iCs/>
        <w:sz w:val="20"/>
        <w:szCs w:val="20"/>
      </w:rPr>
      <w:t>v. d. ravnatelja: Snežana Penović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797"/>
    <w:multiLevelType w:val="hybridMultilevel"/>
    <w:tmpl w:val="D2D0EC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4E7CA4"/>
    <w:multiLevelType w:val="hybridMultilevel"/>
    <w:tmpl w:val="F47CD688"/>
    <w:lvl w:ilvl="0" w:tplc="DFDC946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42F8A"/>
    <w:multiLevelType w:val="hybridMultilevel"/>
    <w:tmpl w:val="B374E1A8"/>
    <w:lvl w:ilvl="0" w:tplc="CE3C876C">
      <w:start w:val="5"/>
      <w:numFmt w:val="bullet"/>
      <w:lvlText w:val="-"/>
      <w:lvlJc w:val="left"/>
      <w:pPr>
        <w:ind w:left="1775" w:hanging="360"/>
      </w:pPr>
      <w:rPr>
        <w:rFonts w:ascii="Times New Roman" w:eastAsiaTheme="minorHAnsi" w:hAnsi="Times New Roman" w:cs="Times New Roman" w:hint="default"/>
      </w:rPr>
    </w:lvl>
    <w:lvl w:ilvl="1" w:tplc="041A0003" w:tentative="1">
      <w:start w:val="1"/>
      <w:numFmt w:val="bullet"/>
      <w:lvlText w:val="o"/>
      <w:lvlJc w:val="left"/>
      <w:pPr>
        <w:ind w:left="2495" w:hanging="360"/>
      </w:pPr>
      <w:rPr>
        <w:rFonts w:ascii="Courier New" w:hAnsi="Courier New" w:cs="Courier New" w:hint="default"/>
      </w:rPr>
    </w:lvl>
    <w:lvl w:ilvl="2" w:tplc="041A0005" w:tentative="1">
      <w:start w:val="1"/>
      <w:numFmt w:val="bullet"/>
      <w:lvlText w:val=""/>
      <w:lvlJc w:val="left"/>
      <w:pPr>
        <w:ind w:left="3215" w:hanging="360"/>
      </w:pPr>
      <w:rPr>
        <w:rFonts w:ascii="Wingdings" w:hAnsi="Wingdings" w:hint="default"/>
      </w:rPr>
    </w:lvl>
    <w:lvl w:ilvl="3" w:tplc="041A0001" w:tentative="1">
      <w:start w:val="1"/>
      <w:numFmt w:val="bullet"/>
      <w:lvlText w:val=""/>
      <w:lvlJc w:val="left"/>
      <w:pPr>
        <w:ind w:left="3935" w:hanging="360"/>
      </w:pPr>
      <w:rPr>
        <w:rFonts w:ascii="Symbol" w:hAnsi="Symbol" w:hint="default"/>
      </w:rPr>
    </w:lvl>
    <w:lvl w:ilvl="4" w:tplc="041A0003" w:tentative="1">
      <w:start w:val="1"/>
      <w:numFmt w:val="bullet"/>
      <w:lvlText w:val="o"/>
      <w:lvlJc w:val="left"/>
      <w:pPr>
        <w:ind w:left="4655" w:hanging="360"/>
      </w:pPr>
      <w:rPr>
        <w:rFonts w:ascii="Courier New" w:hAnsi="Courier New" w:cs="Courier New" w:hint="default"/>
      </w:rPr>
    </w:lvl>
    <w:lvl w:ilvl="5" w:tplc="041A0005" w:tentative="1">
      <w:start w:val="1"/>
      <w:numFmt w:val="bullet"/>
      <w:lvlText w:val=""/>
      <w:lvlJc w:val="left"/>
      <w:pPr>
        <w:ind w:left="5375" w:hanging="360"/>
      </w:pPr>
      <w:rPr>
        <w:rFonts w:ascii="Wingdings" w:hAnsi="Wingdings" w:hint="default"/>
      </w:rPr>
    </w:lvl>
    <w:lvl w:ilvl="6" w:tplc="041A0001" w:tentative="1">
      <w:start w:val="1"/>
      <w:numFmt w:val="bullet"/>
      <w:lvlText w:val=""/>
      <w:lvlJc w:val="left"/>
      <w:pPr>
        <w:ind w:left="6095" w:hanging="360"/>
      </w:pPr>
      <w:rPr>
        <w:rFonts w:ascii="Symbol" w:hAnsi="Symbol" w:hint="default"/>
      </w:rPr>
    </w:lvl>
    <w:lvl w:ilvl="7" w:tplc="041A0003" w:tentative="1">
      <w:start w:val="1"/>
      <w:numFmt w:val="bullet"/>
      <w:lvlText w:val="o"/>
      <w:lvlJc w:val="left"/>
      <w:pPr>
        <w:ind w:left="6815" w:hanging="360"/>
      </w:pPr>
      <w:rPr>
        <w:rFonts w:ascii="Courier New" w:hAnsi="Courier New" w:cs="Courier New" w:hint="default"/>
      </w:rPr>
    </w:lvl>
    <w:lvl w:ilvl="8" w:tplc="041A0005" w:tentative="1">
      <w:start w:val="1"/>
      <w:numFmt w:val="bullet"/>
      <w:lvlText w:val=""/>
      <w:lvlJc w:val="left"/>
      <w:pPr>
        <w:ind w:left="7535" w:hanging="360"/>
      </w:pPr>
      <w:rPr>
        <w:rFonts w:ascii="Wingdings" w:hAnsi="Wingdings" w:hint="default"/>
      </w:rPr>
    </w:lvl>
  </w:abstractNum>
  <w:abstractNum w:abstractNumId="3" w15:restartNumberingAfterBreak="0">
    <w:nsid w:val="13D2204C"/>
    <w:multiLevelType w:val="hybridMultilevel"/>
    <w:tmpl w:val="92C625EA"/>
    <w:lvl w:ilvl="0" w:tplc="D8CA5B4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443B13"/>
    <w:multiLevelType w:val="hybridMultilevel"/>
    <w:tmpl w:val="1E54E390"/>
    <w:lvl w:ilvl="0" w:tplc="3AA888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0C041A"/>
    <w:multiLevelType w:val="hybridMultilevel"/>
    <w:tmpl w:val="9F4235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AF0B27"/>
    <w:multiLevelType w:val="hybridMultilevel"/>
    <w:tmpl w:val="2BAA5F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2147CA"/>
    <w:multiLevelType w:val="hybridMultilevel"/>
    <w:tmpl w:val="AF9C921A"/>
    <w:lvl w:ilvl="0" w:tplc="041A000F">
      <w:start w:val="1"/>
      <w:numFmt w:val="decimal"/>
      <w:lvlText w:val="%1."/>
      <w:lvlJc w:val="left"/>
      <w:pPr>
        <w:ind w:left="720" w:hanging="360"/>
      </w:pPr>
    </w:lvl>
    <w:lvl w:ilvl="1" w:tplc="3AA8885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145E02"/>
    <w:multiLevelType w:val="hybridMultilevel"/>
    <w:tmpl w:val="593A6A1A"/>
    <w:lvl w:ilvl="0" w:tplc="F98C34D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502380"/>
    <w:multiLevelType w:val="hybridMultilevel"/>
    <w:tmpl w:val="AF9C921A"/>
    <w:lvl w:ilvl="0" w:tplc="041A000F">
      <w:start w:val="1"/>
      <w:numFmt w:val="decimal"/>
      <w:lvlText w:val="%1."/>
      <w:lvlJc w:val="left"/>
      <w:pPr>
        <w:ind w:left="720" w:hanging="360"/>
      </w:pPr>
    </w:lvl>
    <w:lvl w:ilvl="1" w:tplc="3AA8885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4370E7F"/>
    <w:multiLevelType w:val="hybridMultilevel"/>
    <w:tmpl w:val="DBFCF494"/>
    <w:lvl w:ilvl="0" w:tplc="6BBEF6F0">
      <w:start w:val="1"/>
      <w:numFmt w:val="decimal"/>
      <w:lvlText w:val="%1."/>
      <w:lvlJc w:val="left"/>
      <w:pPr>
        <w:ind w:left="644" w:hanging="360"/>
      </w:pPr>
      <w:rPr>
        <w:rFonts w:ascii="Times New Roman" w:hAnsi="Times New Roman" w:hint="default"/>
        <w:sz w:val="24"/>
        <w:u w:val="none"/>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57ED7977"/>
    <w:multiLevelType w:val="hybridMultilevel"/>
    <w:tmpl w:val="E1A4ED12"/>
    <w:lvl w:ilvl="0" w:tplc="041A000F">
      <w:start w:val="1"/>
      <w:numFmt w:val="decimal"/>
      <w:lvlText w:val="%1."/>
      <w:lvlJc w:val="left"/>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2" w15:restartNumberingAfterBreak="0">
    <w:nsid w:val="585D30CC"/>
    <w:multiLevelType w:val="hybridMultilevel"/>
    <w:tmpl w:val="60E82096"/>
    <w:lvl w:ilvl="0" w:tplc="A288B6DA">
      <w:start w:val="1"/>
      <w:numFmt w:val="decimal"/>
      <w:lvlText w:val="%1."/>
      <w:lvlJc w:val="left"/>
      <w:pPr>
        <w:ind w:left="644"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A0325BA"/>
    <w:multiLevelType w:val="hybridMultilevel"/>
    <w:tmpl w:val="49CEC4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6075ED"/>
    <w:multiLevelType w:val="hybridMultilevel"/>
    <w:tmpl w:val="4030B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45753490">
    <w:abstractNumId w:val="5"/>
  </w:num>
  <w:num w:numId="2" w16cid:durableId="1892841623">
    <w:abstractNumId w:val="8"/>
  </w:num>
  <w:num w:numId="3" w16cid:durableId="806362130">
    <w:abstractNumId w:val="13"/>
  </w:num>
  <w:num w:numId="4" w16cid:durableId="432210333">
    <w:abstractNumId w:val="0"/>
  </w:num>
  <w:num w:numId="5" w16cid:durableId="284889975">
    <w:abstractNumId w:val="2"/>
  </w:num>
  <w:num w:numId="6" w16cid:durableId="1305156176">
    <w:abstractNumId w:val="10"/>
  </w:num>
  <w:num w:numId="7" w16cid:durableId="1778214960">
    <w:abstractNumId w:val="1"/>
  </w:num>
  <w:num w:numId="8" w16cid:durableId="592513299">
    <w:abstractNumId w:val="11"/>
  </w:num>
  <w:num w:numId="9" w16cid:durableId="276109169">
    <w:abstractNumId w:val="12"/>
  </w:num>
  <w:num w:numId="10" w16cid:durableId="444273386">
    <w:abstractNumId w:val="9"/>
  </w:num>
  <w:num w:numId="11" w16cid:durableId="1537232424">
    <w:abstractNumId w:val="3"/>
  </w:num>
  <w:num w:numId="12" w16cid:durableId="120465605">
    <w:abstractNumId w:val="4"/>
  </w:num>
  <w:num w:numId="13" w16cid:durableId="564266948">
    <w:abstractNumId w:val="7"/>
  </w:num>
  <w:num w:numId="14" w16cid:durableId="727067229">
    <w:abstractNumId w:val="14"/>
  </w:num>
  <w:num w:numId="15" w16cid:durableId="250891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4D"/>
    <w:rsid w:val="00004299"/>
    <w:rsid w:val="00015288"/>
    <w:rsid w:val="00020E67"/>
    <w:rsid w:val="0002284D"/>
    <w:rsid w:val="00033C71"/>
    <w:rsid w:val="000410E5"/>
    <w:rsid w:val="0005446E"/>
    <w:rsid w:val="00073B89"/>
    <w:rsid w:val="0008230F"/>
    <w:rsid w:val="0009086F"/>
    <w:rsid w:val="000A1BAD"/>
    <w:rsid w:val="000A349E"/>
    <w:rsid w:val="000B5BD1"/>
    <w:rsid w:val="000B61CF"/>
    <w:rsid w:val="000C1A1C"/>
    <w:rsid w:val="000C5B30"/>
    <w:rsid w:val="000D570D"/>
    <w:rsid w:val="000D59CC"/>
    <w:rsid w:val="000F6999"/>
    <w:rsid w:val="0010156A"/>
    <w:rsid w:val="001017DF"/>
    <w:rsid w:val="001127C1"/>
    <w:rsid w:val="0011554A"/>
    <w:rsid w:val="0012529F"/>
    <w:rsid w:val="00136E17"/>
    <w:rsid w:val="00142757"/>
    <w:rsid w:val="00152A40"/>
    <w:rsid w:val="00153FF1"/>
    <w:rsid w:val="00155912"/>
    <w:rsid w:val="00156001"/>
    <w:rsid w:val="00162CB4"/>
    <w:rsid w:val="001738B2"/>
    <w:rsid w:val="00193904"/>
    <w:rsid w:val="001A1374"/>
    <w:rsid w:val="001B1404"/>
    <w:rsid w:val="001C6114"/>
    <w:rsid w:val="001D7075"/>
    <w:rsid w:val="001D7B10"/>
    <w:rsid w:val="001E3090"/>
    <w:rsid w:val="001E7277"/>
    <w:rsid w:val="001F0552"/>
    <w:rsid w:val="001F19CE"/>
    <w:rsid w:val="001F2058"/>
    <w:rsid w:val="001F400C"/>
    <w:rsid w:val="001F69F7"/>
    <w:rsid w:val="00212A6C"/>
    <w:rsid w:val="00213912"/>
    <w:rsid w:val="00236E61"/>
    <w:rsid w:val="00241BF6"/>
    <w:rsid w:val="00244E2F"/>
    <w:rsid w:val="00261FEE"/>
    <w:rsid w:val="002659D2"/>
    <w:rsid w:val="00273B0D"/>
    <w:rsid w:val="00280DAE"/>
    <w:rsid w:val="002A2F87"/>
    <w:rsid w:val="002A5C68"/>
    <w:rsid w:val="002C175E"/>
    <w:rsid w:val="002C2F19"/>
    <w:rsid w:val="002C31E5"/>
    <w:rsid w:val="002C3616"/>
    <w:rsid w:val="002C7933"/>
    <w:rsid w:val="002D25E8"/>
    <w:rsid w:val="002D5E86"/>
    <w:rsid w:val="002E684A"/>
    <w:rsid w:val="002E6A83"/>
    <w:rsid w:val="002E732B"/>
    <w:rsid w:val="002F1F32"/>
    <w:rsid w:val="002F67D7"/>
    <w:rsid w:val="002F76CF"/>
    <w:rsid w:val="0030709B"/>
    <w:rsid w:val="003120F5"/>
    <w:rsid w:val="00312AEC"/>
    <w:rsid w:val="00334009"/>
    <w:rsid w:val="00364E6A"/>
    <w:rsid w:val="00383F76"/>
    <w:rsid w:val="003A6EFA"/>
    <w:rsid w:val="003C6368"/>
    <w:rsid w:val="003D12C6"/>
    <w:rsid w:val="003D3228"/>
    <w:rsid w:val="003F1904"/>
    <w:rsid w:val="003F5740"/>
    <w:rsid w:val="0041189F"/>
    <w:rsid w:val="00416FC0"/>
    <w:rsid w:val="00420691"/>
    <w:rsid w:val="0043048B"/>
    <w:rsid w:val="00452F09"/>
    <w:rsid w:val="00456B1F"/>
    <w:rsid w:val="0046350A"/>
    <w:rsid w:val="00477E5D"/>
    <w:rsid w:val="00481584"/>
    <w:rsid w:val="00492777"/>
    <w:rsid w:val="004B5C38"/>
    <w:rsid w:val="004F41E6"/>
    <w:rsid w:val="00500A49"/>
    <w:rsid w:val="00512592"/>
    <w:rsid w:val="00515FBE"/>
    <w:rsid w:val="0051771A"/>
    <w:rsid w:val="00521DF1"/>
    <w:rsid w:val="005252C9"/>
    <w:rsid w:val="005310F7"/>
    <w:rsid w:val="00532FE2"/>
    <w:rsid w:val="00540610"/>
    <w:rsid w:val="005552CB"/>
    <w:rsid w:val="00563CEE"/>
    <w:rsid w:val="00565CF3"/>
    <w:rsid w:val="00570639"/>
    <w:rsid w:val="005869CB"/>
    <w:rsid w:val="005A22B4"/>
    <w:rsid w:val="005D124E"/>
    <w:rsid w:val="005D7B41"/>
    <w:rsid w:val="005E2804"/>
    <w:rsid w:val="005E30E6"/>
    <w:rsid w:val="005E68C9"/>
    <w:rsid w:val="00601531"/>
    <w:rsid w:val="0060324C"/>
    <w:rsid w:val="0060408D"/>
    <w:rsid w:val="00604823"/>
    <w:rsid w:val="006102FB"/>
    <w:rsid w:val="00610857"/>
    <w:rsid w:val="006124FF"/>
    <w:rsid w:val="00620C97"/>
    <w:rsid w:val="006232B7"/>
    <w:rsid w:val="0063146C"/>
    <w:rsid w:val="00651A54"/>
    <w:rsid w:val="00657A92"/>
    <w:rsid w:val="00661787"/>
    <w:rsid w:val="00670FE7"/>
    <w:rsid w:val="00683E23"/>
    <w:rsid w:val="006A017E"/>
    <w:rsid w:val="006A5094"/>
    <w:rsid w:val="006A53C6"/>
    <w:rsid w:val="006C7844"/>
    <w:rsid w:val="006C7863"/>
    <w:rsid w:val="006D4EB3"/>
    <w:rsid w:val="006E2531"/>
    <w:rsid w:val="006F17BF"/>
    <w:rsid w:val="006F4043"/>
    <w:rsid w:val="006F55A4"/>
    <w:rsid w:val="00703230"/>
    <w:rsid w:val="00714131"/>
    <w:rsid w:val="007168DF"/>
    <w:rsid w:val="00717B6E"/>
    <w:rsid w:val="007215F2"/>
    <w:rsid w:val="0072222C"/>
    <w:rsid w:val="00732058"/>
    <w:rsid w:val="00734F93"/>
    <w:rsid w:val="007354FB"/>
    <w:rsid w:val="00773BFA"/>
    <w:rsid w:val="00777886"/>
    <w:rsid w:val="00787368"/>
    <w:rsid w:val="00797026"/>
    <w:rsid w:val="007B3390"/>
    <w:rsid w:val="007B34AC"/>
    <w:rsid w:val="007C5AF5"/>
    <w:rsid w:val="007D1BC8"/>
    <w:rsid w:val="007D2C4F"/>
    <w:rsid w:val="007D6D9D"/>
    <w:rsid w:val="007F2673"/>
    <w:rsid w:val="007F2E96"/>
    <w:rsid w:val="007F4D71"/>
    <w:rsid w:val="007F6251"/>
    <w:rsid w:val="007F7E0C"/>
    <w:rsid w:val="00814653"/>
    <w:rsid w:val="00825A05"/>
    <w:rsid w:val="00850553"/>
    <w:rsid w:val="00852AA0"/>
    <w:rsid w:val="00852F14"/>
    <w:rsid w:val="00855B09"/>
    <w:rsid w:val="00863830"/>
    <w:rsid w:val="00876634"/>
    <w:rsid w:val="00882771"/>
    <w:rsid w:val="00894F0B"/>
    <w:rsid w:val="00897CA9"/>
    <w:rsid w:val="008A339C"/>
    <w:rsid w:val="008B0D1E"/>
    <w:rsid w:val="008C0B82"/>
    <w:rsid w:val="008C33D9"/>
    <w:rsid w:val="008D55B7"/>
    <w:rsid w:val="008E0E27"/>
    <w:rsid w:val="008E7088"/>
    <w:rsid w:val="009126AB"/>
    <w:rsid w:val="009148C2"/>
    <w:rsid w:val="00915F0A"/>
    <w:rsid w:val="00920B95"/>
    <w:rsid w:val="00927077"/>
    <w:rsid w:val="00931D4F"/>
    <w:rsid w:val="00933D5A"/>
    <w:rsid w:val="00935B88"/>
    <w:rsid w:val="009419EB"/>
    <w:rsid w:val="009579ED"/>
    <w:rsid w:val="00957E27"/>
    <w:rsid w:val="009635B9"/>
    <w:rsid w:val="00975018"/>
    <w:rsid w:val="00976C87"/>
    <w:rsid w:val="00991975"/>
    <w:rsid w:val="0099216A"/>
    <w:rsid w:val="00993A24"/>
    <w:rsid w:val="00997AC0"/>
    <w:rsid w:val="009A4F1A"/>
    <w:rsid w:val="009B21EE"/>
    <w:rsid w:val="009C5E80"/>
    <w:rsid w:val="009E14DF"/>
    <w:rsid w:val="009E2D90"/>
    <w:rsid w:val="00A02796"/>
    <w:rsid w:val="00A2173B"/>
    <w:rsid w:val="00A41DA9"/>
    <w:rsid w:val="00A67322"/>
    <w:rsid w:val="00A70713"/>
    <w:rsid w:val="00A8129F"/>
    <w:rsid w:val="00A8668F"/>
    <w:rsid w:val="00A91568"/>
    <w:rsid w:val="00A978DB"/>
    <w:rsid w:val="00AA113A"/>
    <w:rsid w:val="00AB2019"/>
    <w:rsid w:val="00AB691B"/>
    <w:rsid w:val="00AC01C8"/>
    <w:rsid w:val="00AC2487"/>
    <w:rsid w:val="00AD0D63"/>
    <w:rsid w:val="00AD205B"/>
    <w:rsid w:val="00AD5F06"/>
    <w:rsid w:val="00AE5079"/>
    <w:rsid w:val="00AE754E"/>
    <w:rsid w:val="00AF56A6"/>
    <w:rsid w:val="00AF7D58"/>
    <w:rsid w:val="00B21807"/>
    <w:rsid w:val="00B252DC"/>
    <w:rsid w:val="00B31679"/>
    <w:rsid w:val="00B31B17"/>
    <w:rsid w:val="00B36B99"/>
    <w:rsid w:val="00B40A5D"/>
    <w:rsid w:val="00B40B92"/>
    <w:rsid w:val="00B4172B"/>
    <w:rsid w:val="00B42BA0"/>
    <w:rsid w:val="00B43F6F"/>
    <w:rsid w:val="00B52178"/>
    <w:rsid w:val="00B54DAB"/>
    <w:rsid w:val="00B77F3B"/>
    <w:rsid w:val="00B83A0C"/>
    <w:rsid w:val="00B94E01"/>
    <w:rsid w:val="00B976C2"/>
    <w:rsid w:val="00BA46CC"/>
    <w:rsid w:val="00BA7D7E"/>
    <w:rsid w:val="00BB5072"/>
    <w:rsid w:val="00BC1B7B"/>
    <w:rsid w:val="00BC762D"/>
    <w:rsid w:val="00BC7CFD"/>
    <w:rsid w:val="00BD54A4"/>
    <w:rsid w:val="00BE0A31"/>
    <w:rsid w:val="00BE271B"/>
    <w:rsid w:val="00BE53EA"/>
    <w:rsid w:val="00BE5942"/>
    <w:rsid w:val="00BE61C3"/>
    <w:rsid w:val="00BE74A2"/>
    <w:rsid w:val="00BF046A"/>
    <w:rsid w:val="00C01B21"/>
    <w:rsid w:val="00C06CBD"/>
    <w:rsid w:val="00C128CA"/>
    <w:rsid w:val="00C13C6E"/>
    <w:rsid w:val="00C25E5F"/>
    <w:rsid w:val="00C26356"/>
    <w:rsid w:val="00C312E4"/>
    <w:rsid w:val="00C40071"/>
    <w:rsid w:val="00C51427"/>
    <w:rsid w:val="00C60266"/>
    <w:rsid w:val="00C6082B"/>
    <w:rsid w:val="00C62ED1"/>
    <w:rsid w:val="00C8354D"/>
    <w:rsid w:val="00C84F7E"/>
    <w:rsid w:val="00C8765D"/>
    <w:rsid w:val="00CA6A4B"/>
    <w:rsid w:val="00CB0834"/>
    <w:rsid w:val="00CB538E"/>
    <w:rsid w:val="00CB672D"/>
    <w:rsid w:val="00CB7EDF"/>
    <w:rsid w:val="00CD6410"/>
    <w:rsid w:val="00CD6D1A"/>
    <w:rsid w:val="00CF063D"/>
    <w:rsid w:val="00CF332C"/>
    <w:rsid w:val="00D2387F"/>
    <w:rsid w:val="00D43D26"/>
    <w:rsid w:val="00D469CD"/>
    <w:rsid w:val="00D506CA"/>
    <w:rsid w:val="00D5506C"/>
    <w:rsid w:val="00D655F3"/>
    <w:rsid w:val="00D67C3E"/>
    <w:rsid w:val="00D82E39"/>
    <w:rsid w:val="00D841AA"/>
    <w:rsid w:val="00D87F8E"/>
    <w:rsid w:val="00DA27E1"/>
    <w:rsid w:val="00DB0A97"/>
    <w:rsid w:val="00DB11AC"/>
    <w:rsid w:val="00DB2124"/>
    <w:rsid w:val="00DB7D14"/>
    <w:rsid w:val="00DC1E88"/>
    <w:rsid w:val="00DC367B"/>
    <w:rsid w:val="00DC493E"/>
    <w:rsid w:val="00DC5BC4"/>
    <w:rsid w:val="00DC67A6"/>
    <w:rsid w:val="00DC75FC"/>
    <w:rsid w:val="00DF4007"/>
    <w:rsid w:val="00DF5C8B"/>
    <w:rsid w:val="00E0256F"/>
    <w:rsid w:val="00E253F5"/>
    <w:rsid w:val="00E34AC6"/>
    <w:rsid w:val="00E50F73"/>
    <w:rsid w:val="00E51674"/>
    <w:rsid w:val="00E56A2D"/>
    <w:rsid w:val="00E576AA"/>
    <w:rsid w:val="00E62184"/>
    <w:rsid w:val="00E62B73"/>
    <w:rsid w:val="00E639B0"/>
    <w:rsid w:val="00E75493"/>
    <w:rsid w:val="00E829B2"/>
    <w:rsid w:val="00E837EE"/>
    <w:rsid w:val="00E84663"/>
    <w:rsid w:val="00E946F9"/>
    <w:rsid w:val="00E97D29"/>
    <w:rsid w:val="00EA4F0D"/>
    <w:rsid w:val="00EB03CF"/>
    <w:rsid w:val="00EB4FAA"/>
    <w:rsid w:val="00EB748F"/>
    <w:rsid w:val="00EC1E1D"/>
    <w:rsid w:val="00ED3674"/>
    <w:rsid w:val="00EE0196"/>
    <w:rsid w:val="00EE4297"/>
    <w:rsid w:val="00EF0A3F"/>
    <w:rsid w:val="00F1225C"/>
    <w:rsid w:val="00F12BE9"/>
    <w:rsid w:val="00F16CF0"/>
    <w:rsid w:val="00F21B1C"/>
    <w:rsid w:val="00F32328"/>
    <w:rsid w:val="00F400F1"/>
    <w:rsid w:val="00F4129E"/>
    <w:rsid w:val="00F5504D"/>
    <w:rsid w:val="00F6731A"/>
    <w:rsid w:val="00F807C0"/>
    <w:rsid w:val="00F8789C"/>
    <w:rsid w:val="00F957F2"/>
    <w:rsid w:val="00FA2CBE"/>
    <w:rsid w:val="00FA5E11"/>
    <w:rsid w:val="00FB0B80"/>
    <w:rsid w:val="00FB35A7"/>
    <w:rsid w:val="00FC4125"/>
    <w:rsid w:val="00FD57A9"/>
    <w:rsid w:val="00FD6443"/>
    <w:rsid w:val="00FE3F7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2933D"/>
  <w15:docId w15:val="{85C09D65-0746-45BD-AEAA-48F07833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7E"/>
    <w:pPr>
      <w:ind w:left="720"/>
      <w:contextualSpacing/>
    </w:pPr>
  </w:style>
  <w:style w:type="paragraph" w:styleId="BalloonText">
    <w:name w:val="Balloon Text"/>
    <w:basedOn w:val="Normal"/>
    <w:link w:val="BalloonTextChar"/>
    <w:uiPriority w:val="99"/>
    <w:semiHidden/>
    <w:unhideWhenUsed/>
    <w:rsid w:val="006A0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7E"/>
    <w:rPr>
      <w:rFonts w:ascii="Segoe UI" w:hAnsi="Segoe UI" w:cs="Segoe UI"/>
      <w:sz w:val="18"/>
      <w:szCs w:val="18"/>
    </w:rPr>
  </w:style>
  <w:style w:type="paragraph" w:styleId="NoSpacing">
    <w:name w:val="No Spacing"/>
    <w:uiPriority w:val="1"/>
    <w:qFormat/>
    <w:rsid w:val="00876634"/>
  </w:style>
  <w:style w:type="paragraph" w:styleId="Header">
    <w:name w:val="header"/>
    <w:basedOn w:val="Normal"/>
    <w:link w:val="HeaderChar"/>
    <w:uiPriority w:val="99"/>
    <w:unhideWhenUsed/>
    <w:rsid w:val="006C7844"/>
    <w:pPr>
      <w:tabs>
        <w:tab w:val="center" w:pos="4536"/>
        <w:tab w:val="right" w:pos="9072"/>
      </w:tabs>
    </w:pPr>
  </w:style>
  <w:style w:type="character" w:customStyle="1" w:styleId="HeaderChar">
    <w:name w:val="Header Char"/>
    <w:basedOn w:val="DefaultParagraphFont"/>
    <w:link w:val="Header"/>
    <w:uiPriority w:val="99"/>
    <w:rsid w:val="006C7844"/>
  </w:style>
  <w:style w:type="paragraph" w:styleId="Footer">
    <w:name w:val="footer"/>
    <w:basedOn w:val="Normal"/>
    <w:link w:val="FooterChar"/>
    <w:uiPriority w:val="99"/>
    <w:unhideWhenUsed/>
    <w:rsid w:val="006C7844"/>
    <w:pPr>
      <w:tabs>
        <w:tab w:val="center" w:pos="4536"/>
        <w:tab w:val="right" w:pos="9072"/>
      </w:tabs>
    </w:pPr>
  </w:style>
  <w:style w:type="character" w:customStyle="1" w:styleId="FooterChar">
    <w:name w:val="Footer Char"/>
    <w:basedOn w:val="DefaultParagraphFont"/>
    <w:link w:val="Footer"/>
    <w:uiPriority w:val="99"/>
    <w:rsid w:val="006C7844"/>
  </w:style>
  <w:style w:type="character" w:styleId="Hyperlink">
    <w:name w:val="Hyperlink"/>
    <w:basedOn w:val="DefaultParagraphFont"/>
    <w:uiPriority w:val="99"/>
    <w:unhideWhenUsed/>
    <w:rsid w:val="006C7844"/>
    <w:rPr>
      <w:color w:val="0563C1" w:themeColor="hyperlink"/>
      <w:u w:val="single"/>
    </w:rPr>
  </w:style>
  <w:style w:type="character" w:customStyle="1" w:styleId="UnresolvedMention1">
    <w:name w:val="Unresolved Mention1"/>
    <w:basedOn w:val="DefaultParagraphFont"/>
    <w:uiPriority w:val="99"/>
    <w:semiHidden/>
    <w:unhideWhenUsed/>
    <w:rsid w:val="006C7844"/>
    <w:rPr>
      <w:color w:val="605E5C"/>
      <w:shd w:val="clear" w:color="auto" w:fill="E1DFDD"/>
    </w:rPr>
  </w:style>
  <w:style w:type="table" w:styleId="TableGrid">
    <w:name w:val="Table Grid"/>
    <w:basedOn w:val="TableNormal"/>
    <w:uiPriority w:val="59"/>
    <w:rsid w:val="00CD6D1A"/>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07C0"/>
  </w:style>
  <w:style w:type="character" w:styleId="CommentReference">
    <w:name w:val="annotation reference"/>
    <w:basedOn w:val="DefaultParagraphFont"/>
    <w:uiPriority w:val="99"/>
    <w:semiHidden/>
    <w:unhideWhenUsed/>
    <w:rsid w:val="001F19CE"/>
    <w:rPr>
      <w:sz w:val="16"/>
      <w:szCs w:val="16"/>
    </w:rPr>
  </w:style>
  <w:style w:type="paragraph" w:styleId="CommentText">
    <w:name w:val="annotation text"/>
    <w:basedOn w:val="Normal"/>
    <w:link w:val="CommentTextChar"/>
    <w:uiPriority w:val="99"/>
    <w:semiHidden/>
    <w:unhideWhenUsed/>
    <w:rsid w:val="001F19CE"/>
    <w:rPr>
      <w:sz w:val="20"/>
      <w:szCs w:val="20"/>
    </w:rPr>
  </w:style>
  <w:style w:type="character" w:customStyle="1" w:styleId="CommentTextChar">
    <w:name w:val="Comment Text Char"/>
    <w:basedOn w:val="DefaultParagraphFont"/>
    <w:link w:val="CommentText"/>
    <w:uiPriority w:val="99"/>
    <w:semiHidden/>
    <w:rsid w:val="001F19CE"/>
    <w:rPr>
      <w:sz w:val="20"/>
      <w:szCs w:val="20"/>
    </w:rPr>
  </w:style>
  <w:style w:type="paragraph" w:styleId="CommentSubject">
    <w:name w:val="annotation subject"/>
    <w:basedOn w:val="CommentText"/>
    <w:next w:val="CommentText"/>
    <w:link w:val="CommentSubjectChar"/>
    <w:uiPriority w:val="99"/>
    <w:semiHidden/>
    <w:unhideWhenUsed/>
    <w:rsid w:val="001F19CE"/>
    <w:rPr>
      <w:b/>
      <w:bCs/>
    </w:rPr>
  </w:style>
  <w:style w:type="character" w:customStyle="1" w:styleId="CommentSubjectChar">
    <w:name w:val="Comment Subject Char"/>
    <w:basedOn w:val="CommentTextChar"/>
    <w:link w:val="CommentSubject"/>
    <w:uiPriority w:val="99"/>
    <w:semiHidden/>
    <w:rsid w:val="001F1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0020">
      <w:bodyDiv w:val="1"/>
      <w:marLeft w:val="0"/>
      <w:marRight w:val="0"/>
      <w:marTop w:val="0"/>
      <w:marBottom w:val="0"/>
      <w:divBdr>
        <w:top w:val="none" w:sz="0" w:space="0" w:color="auto"/>
        <w:left w:val="none" w:sz="0" w:space="0" w:color="auto"/>
        <w:bottom w:val="none" w:sz="0" w:space="0" w:color="auto"/>
        <w:right w:val="none" w:sz="0" w:space="0" w:color="auto"/>
      </w:divBdr>
    </w:div>
    <w:div w:id="484932297">
      <w:bodyDiv w:val="1"/>
      <w:marLeft w:val="0"/>
      <w:marRight w:val="0"/>
      <w:marTop w:val="0"/>
      <w:marBottom w:val="0"/>
      <w:divBdr>
        <w:top w:val="none" w:sz="0" w:space="0" w:color="auto"/>
        <w:left w:val="none" w:sz="0" w:space="0" w:color="auto"/>
        <w:bottom w:val="none" w:sz="0" w:space="0" w:color="auto"/>
        <w:right w:val="none" w:sz="0" w:space="0" w:color="auto"/>
      </w:divBdr>
    </w:div>
    <w:div w:id="625819396">
      <w:bodyDiv w:val="1"/>
      <w:marLeft w:val="0"/>
      <w:marRight w:val="0"/>
      <w:marTop w:val="0"/>
      <w:marBottom w:val="0"/>
      <w:divBdr>
        <w:top w:val="none" w:sz="0" w:space="0" w:color="auto"/>
        <w:left w:val="none" w:sz="0" w:space="0" w:color="auto"/>
        <w:bottom w:val="none" w:sz="0" w:space="0" w:color="auto"/>
        <w:right w:val="none" w:sz="0" w:space="0" w:color="auto"/>
      </w:divBdr>
    </w:div>
    <w:div w:id="723793225">
      <w:bodyDiv w:val="1"/>
      <w:marLeft w:val="0"/>
      <w:marRight w:val="0"/>
      <w:marTop w:val="0"/>
      <w:marBottom w:val="0"/>
      <w:divBdr>
        <w:top w:val="none" w:sz="0" w:space="0" w:color="auto"/>
        <w:left w:val="none" w:sz="0" w:space="0" w:color="auto"/>
        <w:bottom w:val="none" w:sz="0" w:space="0" w:color="auto"/>
        <w:right w:val="none" w:sz="0" w:space="0" w:color="auto"/>
      </w:divBdr>
    </w:div>
    <w:div w:id="771582962">
      <w:bodyDiv w:val="1"/>
      <w:marLeft w:val="0"/>
      <w:marRight w:val="0"/>
      <w:marTop w:val="0"/>
      <w:marBottom w:val="0"/>
      <w:divBdr>
        <w:top w:val="none" w:sz="0" w:space="0" w:color="auto"/>
        <w:left w:val="none" w:sz="0" w:space="0" w:color="auto"/>
        <w:bottom w:val="none" w:sz="0" w:space="0" w:color="auto"/>
        <w:right w:val="none" w:sz="0" w:space="0" w:color="auto"/>
      </w:divBdr>
    </w:div>
    <w:div w:id="954487947">
      <w:bodyDiv w:val="1"/>
      <w:marLeft w:val="0"/>
      <w:marRight w:val="0"/>
      <w:marTop w:val="0"/>
      <w:marBottom w:val="0"/>
      <w:divBdr>
        <w:top w:val="none" w:sz="0" w:space="0" w:color="auto"/>
        <w:left w:val="none" w:sz="0" w:space="0" w:color="auto"/>
        <w:bottom w:val="none" w:sz="0" w:space="0" w:color="auto"/>
        <w:right w:val="none" w:sz="0" w:space="0" w:color="auto"/>
      </w:divBdr>
    </w:div>
    <w:div w:id="1043362797">
      <w:bodyDiv w:val="1"/>
      <w:marLeft w:val="0"/>
      <w:marRight w:val="0"/>
      <w:marTop w:val="0"/>
      <w:marBottom w:val="0"/>
      <w:divBdr>
        <w:top w:val="none" w:sz="0" w:space="0" w:color="auto"/>
        <w:left w:val="none" w:sz="0" w:space="0" w:color="auto"/>
        <w:bottom w:val="none" w:sz="0" w:space="0" w:color="auto"/>
        <w:right w:val="none" w:sz="0" w:space="0" w:color="auto"/>
      </w:divBdr>
    </w:div>
    <w:div w:id="1071998301">
      <w:bodyDiv w:val="1"/>
      <w:marLeft w:val="0"/>
      <w:marRight w:val="0"/>
      <w:marTop w:val="0"/>
      <w:marBottom w:val="0"/>
      <w:divBdr>
        <w:top w:val="none" w:sz="0" w:space="0" w:color="auto"/>
        <w:left w:val="none" w:sz="0" w:space="0" w:color="auto"/>
        <w:bottom w:val="none" w:sz="0" w:space="0" w:color="auto"/>
        <w:right w:val="none" w:sz="0" w:space="0" w:color="auto"/>
      </w:divBdr>
    </w:div>
    <w:div w:id="1558974922">
      <w:bodyDiv w:val="1"/>
      <w:marLeft w:val="0"/>
      <w:marRight w:val="0"/>
      <w:marTop w:val="0"/>
      <w:marBottom w:val="0"/>
      <w:divBdr>
        <w:top w:val="none" w:sz="0" w:space="0" w:color="auto"/>
        <w:left w:val="none" w:sz="0" w:space="0" w:color="auto"/>
        <w:bottom w:val="none" w:sz="0" w:space="0" w:color="auto"/>
        <w:right w:val="none" w:sz="0" w:space="0" w:color="auto"/>
      </w:divBdr>
    </w:div>
    <w:div w:id="1614942832">
      <w:bodyDiv w:val="1"/>
      <w:marLeft w:val="0"/>
      <w:marRight w:val="0"/>
      <w:marTop w:val="0"/>
      <w:marBottom w:val="0"/>
      <w:divBdr>
        <w:top w:val="none" w:sz="0" w:space="0" w:color="auto"/>
        <w:left w:val="none" w:sz="0" w:space="0" w:color="auto"/>
        <w:bottom w:val="none" w:sz="0" w:space="0" w:color="auto"/>
        <w:right w:val="none" w:sz="0" w:space="0" w:color="auto"/>
      </w:divBdr>
    </w:div>
    <w:div w:id="1681614625">
      <w:bodyDiv w:val="1"/>
      <w:marLeft w:val="0"/>
      <w:marRight w:val="0"/>
      <w:marTop w:val="0"/>
      <w:marBottom w:val="0"/>
      <w:divBdr>
        <w:top w:val="none" w:sz="0" w:space="0" w:color="auto"/>
        <w:left w:val="none" w:sz="0" w:space="0" w:color="auto"/>
        <w:bottom w:val="none" w:sz="0" w:space="0" w:color="auto"/>
        <w:right w:val="none" w:sz="0" w:space="0" w:color="auto"/>
      </w:divBdr>
    </w:div>
    <w:div w:id="1850676720">
      <w:bodyDiv w:val="1"/>
      <w:marLeft w:val="0"/>
      <w:marRight w:val="0"/>
      <w:marTop w:val="0"/>
      <w:marBottom w:val="0"/>
      <w:divBdr>
        <w:top w:val="none" w:sz="0" w:space="0" w:color="auto"/>
        <w:left w:val="none" w:sz="0" w:space="0" w:color="auto"/>
        <w:bottom w:val="none" w:sz="0" w:space="0" w:color="auto"/>
        <w:right w:val="none" w:sz="0" w:space="0" w:color="auto"/>
      </w:divBdr>
    </w:div>
    <w:div w:id="19592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MPGI\FZO\Memo&amp;Logo\FZO-memorandum-template.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DDEEA355C5244B78BED73F74F0C6A" ma:contentTypeVersion="13" ma:contentTypeDescription="Create a new document." ma:contentTypeScope="" ma:versionID="aef6c5eb66b491eb3e729975e96b347c">
  <xsd:schema xmlns:xsd="http://www.w3.org/2001/XMLSchema" xmlns:xs="http://www.w3.org/2001/XMLSchema" xmlns:p="http://schemas.microsoft.com/office/2006/metadata/properties" xmlns:ns2="62becff4-d713-4836-946c-6a8cb2fe9b43" xmlns:ns3="6598515d-9c9f-4567-a9f4-aab70a9be7be" targetNamespace="http://schemas.microsoft.com/office/2006/metadata/properties" ma:root="true" ma:fieldsID="097cefa3ca011f4378a76389f3a5549b" ns2:_="" ns3:_="">
    <xsd:import namespace="62becff4-d713-4836-946c-6a8cb2fe9b43"/>
    <xsd:import namespace="6598515d-9c9f-4567-a9f4-aab70a9be7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ecff4-d713-4836-946c-6a8cb2fe9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348d4ca-462d-4bf8-9029-df4696eb03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8515d-9c9f-4567-a9f4-aab70a9be7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7f84fe5-0c02-41eb-aefb-7ab9ed366e25}" ma:internalName="TaxCatchAll" ma:showField="CatchAllData" ma:web="6598515d-9c9f-4567-a9f4-aab70a9be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598515d-9c9f-4567-a9f4-aab70a9be7be">
      <UserInfo>
        <DisplayName/>
        <AccountId xsi:nil="true"/>
        <AccountType/>
      </UserInfo>
    </SharedWithUsers>
    <TaxCatchAll xmlns="6598515d-9c9f-4567-a9f4-aab70a9be7be" xsi:nil="true"/>
    <lcf76f155ced4ddcb4097134ff3c332f xmlns="62becff4-d713-4836-946c-6a8cb2fe9b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D64B5-745A-46BE-BC26-2AC3EF9FB6C7}"/>
</file>

<file path=customXml/itemProps2.xml><?xml version="1.0" encoding="utf-8"?>
<ds:datastoreItem xmlns:ds="http://schemas.openxmlformats.org/officeDocument/2006/customXml" ds:itemID="{ECC0754C-8F99-449A-96F6-6B64C0F53DCC}">
  <ds:schemaRefs>
    <ds:schemaRef ds:uri="http://schemas.openxmlformats.org/officeDocument/2006/bibliography"/>
  </ds:schemaRefs>
</ds:datastoreItem>
</file>

<file path=customXml/itemProps3.xml><?xml version="1.0" encoding="utf-8"?>
<ds:datastoreItem xmlns:ds="http://schemas.openxmlformats.org/officeDocument/2006/customXml" ds:itemID="{B7603F7A-2210-4DEC-BE4B-EE236D5A3BAA}">
  <ds:schemaRefs>
    <ds:schemaRef ds:uri="http://schemas.microsoft.com/office/2006/metadata/properties"/>
    <ds:schemaRef ds:uri="http://schemas.microsoft.com/office/infopath/2007/PartnerControls"/>
    <ds:schemaRef ds:uri="6598515d-9c9f-4567-a9f4-aab70a9be7be"/>
  </ds:schemaRefs>
</ds:datastoreItem>
</file>

<file path=customXml/itemProps4.xml><?xml version="1.0" encoding="utf-8"?>
<ds:datastoreItem xmlns:ds="http://schemas.openxmlformats.org/officeDocument/2006/customXml" ds:itemID="{FA85058A-9D3C-4599-B874-055B5163C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FZO-memorandum-template</Template>
  <TotalTime>11</TotalTime>
  <Pages>5</Pages>
  <Words>1588</Words>
  <Characters>9052</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Mihalić</dc:creator>
  <cp:keywords/>
  <cp:lastModifiedBy>Janja Mihalić</cp:lastModifiedBy>
  <cp:revision>14</cp:revision>
  <cp:lastPrinted>2022-01-29T06:49:00Z</cp:lastPrinted>
  <dcterms:created xsi:type="dcterms:W3CDTF">2022-02-01T04:41:00Z</dcterms:created>
  <dcterms:modified xsi:type="dcterms:W3CDTF">2022-07-06T09:51:00Z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0x010100754DDEEA355C5244B78BED73F74F0C6A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